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DCDBB" w14:textId="77777777" w:rsidR="00450D4F" w:rsidRDefault="00AC21D8" w:rsidP="00D113FF">
      <w:pPr>
        <w:tabs>
          <w:tab w:val="center" w:pos="4536"/>
          <w:tab w:val="right" w:pos="7938"/>
          <w:tab w:val="right" w:pos="9639"/>
        </w:tabs>
        <w:ind w:right="2"/>
        <w:rPr>
          <w:rFonts w:ascii="Arial" w:eastAsia="MS Mincho" w:hAnsi="Arial" w:cs="Arial"/>
          <w:b/>
          <w:bCs/>
          <w:sz w:val="28"/>
          <w:lang w:eastAsia="ja-JP"/>
        </w:rPr>
      </w:pPr>
      <w:bookmarkStart w:id="0" w:name="historyclause"/>
      <w:bookmarkStart w:id="1" w:name="_Toc383764588"/>
      <w:r w:rsidRPr="00CC5111">
        <w:rPr>
          <w:rFonts w:ascii="Arial" w:hAnsi="Arial" w:cs="Arial"/>
          <w:b/>
          <w:bCs/>
          <w:sz w:val="28"/>
        </w:rPr>
        <w:t>3GPP TSG RAN WG1 #121                                                  R1-</w:t>
      </w:r>
      <w:r w:rsidR="00450D4F" w:rsidRPr="00450D4F">
        <w:rPr>
          <w:rFonts w:ascii="Arial" w:hAnsi="Arial" w:cs="Arial"/>
          <w:b/>
          <w:bCs/>
          <w:sz w:val="28"/>
        </w:rPr>
        <w:t xml:space="preserve"> </w:t>
      </w:r>
      <w:r w:rsidR="00450D4F" w:rsidRPr="00450D4F">
        <w:rPr>
          <w:rFonts w:ascii="Arial" w:hAnsi="Arial" w:cs="Arial"/>
          <w:b/>
          <w:bCs/>
          <w:sz w:val="28"/>
        </w:rPr>
        <w:t>2504608</w:t>
      </w:r>
      <w:r w:rsidR="00450D4F" w:rsidRPr="00CC5111">
        <w:rPr>
          <w:rFonts w:ascii="Arial" w:eastAsia="MS Mincho" w:hAnsi="Arial" w:cs="Arial"/>
          <w:b/>
          <w:bCs/>
          <w:sz w:val="28"/>
          <w:lang w:eastAsia="ja-JP"/>
        </w:rPr>
        <w:t xml:space="preserve"> </w:t>
      </w:r>
    </w:p>
    <w:p w14:paraId="0A911493" w14:textId="074C4FCB" w:rsidR="00AC21D8" w:rsidRPr="00CC5111" w:rsidRDefault="00AC21D8" w:rsidP="00D113FF">
      <w:pPr>
        <w:tabs>
          <w:tab w:val="center" w:pos="4536"/>
          <w:tab w:val="right" w:pos="7938"/>
          <w:tab w:val="right" w:pos="9639"/>
        </w:tabs>
        <w:ind w:right="2"/>
        <w:rPr>
          <w:rFonts w:ascii="Arial" w:hAnsi="Arial" w:cs="Arial"/>
          <w:b/>
          <w:bCs/>
          <w:sz w:val="28"/>
        </w:rPr>
      </w:pPr>
      <w:r w:rsidRPr="00CC5111">
        <w:rPr>
          <w:rFonts w:ascii="Arial" w:eastAsia="MS Mincho" w:hAnsi="Arial" w:cs="Arial"/>
          <w:b/>
          <w:bCs/>
          <w:sz w:val="28"/>
          <w:lang w:eastAsia="ja-JP"/>
        </w:rPr>
        <w:t xml:space="preserve">St Julian’s, Malta, </w:t>
      </w:r>
      <w:r w:rsidRPr="00CC5111">
        <w:rPr>
          <w:rFonts w:ascii="Malgun Gothic" w:eastAsia="Malgun Gothic" w:hAnsi="Malgun Gothic" w:cs="Malgun Gothic"/>
          <w:b/>
          <w:bCs/>
          <w:sz w:val="28"/>
          <w:lang w:eastAsia="ko-KR"/>
        </w:rPr>
        <w:t xml:space="preserve">May </w:t>
      </w:r>
      <w:r w:rsidRPr="00CC5111">
        <w:rPr>
          <w:rFonts w:ascii="Arial" w:eastAsia="MS Mincho" w:hAnsi="Arial" w:cs="Arial"/>
          <w:b/>
          <w:bCs/>
          <w:sz w:val="28"/>
          <w:lang w:eastAsia="ja-JP"/>
        </w:rPr>
        <w:t>19</w:t>
      </w:r>
      <w:r w:rsidRPr="00CC5111">
        <w:rPr>
          <w:rFonts w:ascii="Malgun Gothic" w:eastAsia="Malgun Gothic" w:hAnsi="Malgun Gothic" w:cs="Malgun Gothic" w:hint="eastAsia"/>
          <w:b/>
          <w:bCs/>
          <w:sz w:val="28"/>
          <w:vertAlign w:val="superscript"/>
          <w:lang w:eastAsia="ko-KR"/>
        </w:rPr>
        <w:t>th</w:t>
      </w:r>
      <w:r w:rsidRPr="00CC5111">
        <w:rPr>
          <w:rFonts w:ascii="Arial" w:eastAsia="MS Mincho" w:hAnsi="Arial" w:cs="Arial"/>
          <w:b/>
          <w:bCs/>
          <w:sz w:val="28"/>
          <w:lang w:eastAsia="ja-JP"/>
        </w:rPr>
        <w:t xml:space="preserve"> </w:t>
      </w:r>
      <w:r w:rsidRPr="00CC5111">
        <w:rPr>
          <w:rFonts w:ascii="Arial" w:hAnsi="Arial" w:cs="Arial"/>
          <w:b/>
          <w:bCs/>
          <w:sz w:val="28"/>
        </w:rPr>
        <w:t>– 23</w:t>
      </w:r>
      <w:r w:rsidRPr="00CC5111">
        <w:rPr>
          <w:rFonts w:ascii="Arial" w:hAnsi="Arial" w:cs="Arial"/>
          <w:b/>
          <w:bCs/>
          <w:sz w:val="28"/>
          <w:vertAlign w:val="superscript"/>
        </w:rPr>
        <w:t>th</w:t>
      </w:r>
      <w:r w:rsidRPr="00CC5111">
        <w:rPr>
          <w:rFonts w:ascii="Arial" w:eastAsia="MS Mincho" w:hAnsi="Arial" w:cs="Arial"/>
          <w:b/>
          <w:bCs/>
          <w:sz w:val="28"/>
          <w:lang w:eastAsia="ja-JP"/>
        </w:rPr>
        <w:t>, 2025</w:t>
      </w:r>
    </w:p>
    <w:p w14:paraId="7FCDD4DE" w14:textId="77777777" w:rsidR="00A40271" w:rsidRPr="00CC5111" w:rsidRDefault="00A40271" w:rsidP="00A40271">
      <w:pPr>
        <w:pStyle w:val="Comments"/>
        <w:rPr>
          <w:rFonts w:cs="Arial"/>
          <w:b/>
          <w:bCs/>
          <w:i w:val="0"/>
          <w:noProof w:val="0"/>
          <w:sz w:val="28"/>
          <w:szCs w:val="20"/>
          <w:lang w:eastAsia="ja-JP"/>
        </w:rPr>
      </w:pPr>
    </w:p>
    <w:p w14:paraId="166C5644" w14:textId="37267010" w:rsidR="00A40271" w:rsidRPr="00CC5111" w:rsidRDefault="00A40271" w:rsidP="00A40271">
      <w:pPr>
        <w:pStyle w:val="Header"/>
        <w:rPr>
          <w:rFonts w:eastAsia="MS Mincho" w:cs="Arial"/>
          <w:bCs/>
          <w:noProof w:val="0"/>
          <w:sz w:val="28"/>
          <w:lang w:eastAsia="ja-JP"/>
        </w:rPr>
      </w:pPr>
      <w:r w:rsidRPr="00CC5111">
        <w:rPr>
          <w:rFonts w:eastAsia="MS Mincho" w:cs="Arial"/>
          <w:bCs/>
          <w:noProof w:val="0"/>
          <w:sz w:val="28"/>
          <w:lang w:eastAsia="ja-JP"/>
        </w:rPr>
        <w:t>Source: Google</w:t>
      </w:r>
    </w:p>
    <w:p w14:paraId="55362DDE" w14:textId="1C9FCB4D" w:rsidR="00A40271" w:rsidRPr="00CC5111" w:rsidRDefault="00A40271" w:rsidP="00A40271">
      <w:pPr>
        <w:pStyle w:val="Header"/>
        <w:rPr>
          <w:rFonts w:eastAsia="MS Mincho" w:cs="Arial"/>
          <w:bCs/>
          <w:noProof w:val="0"/>
          <w:sz w:val="28"/>
          <w:lang w:eastAsia="ja-JP"/>
        </w:rPr>
      </w:pPr>
      <w:r w:rsidRPr="00CC5111">
        <w:rPr>
          <w:rFonts w:eastAsia="MS Mincho" w:cs="Arial"/>
          <w:bCs/>
          <w:noProof w:val="0"/>
          <w:sz w:val="28"/>
          <w:lang w:eastAsia="ja-JP"/>
        </w:rPr>
        <w:t>Title:</w:t>
      </w:r>
      <w:r w:rsidRPr="00CC5111">
        <w:rPr>
          <w:rFonts w:eastAsia="MS Mincho" w:cs="Arial"/>
          <w:bCs/>
          <w:noProof w:val="0"/>
          <w:sz w:val="28"/>
          <w:lang w:eastAsia="ja-JP"/>
        </w:rPr>
        <w:tab/>
      </w:r>
      <w:r w:rsidR="00F00554" w:rsidRPr="00CC5111">
        <w:rPr>
          <w:rFonts w:eastAsia="MS Mincho" w:cs="Arial"/>
          <w:bCs/>
          <w:noProof w:val="0"/>
          <w:sz w:val="28"/>
          <w:lang w:eastAsia="ja-JP"/>
        </w:rPr>
        <w:t xml:space="preserve">On </w:t>
      </w:r>
      <w:r w:rsidR="00E05E9E" w:rsidRPr="00CC5111">
        <w:rPr>
          <w:rFonts w:eastAsia="MS Mincho" w:cs="Arial"/>
          <w:bCs/>
          <w:noProof w:val="0"/>
          <w:sz w:val="28"/>
          <w:lang w:eastAsia="ja-JP"/>
        </w:rPr>
        <w:t xml:space="preserve">enabling Tx/Rx for XR during RRM measurements </w:t>
      </w:r>
    </w:p>
    <w:p w14:paraId="1A8A7C36" w14:textId="77777777" w:rsidR="00A40271" w:rsidRPr="00CC5111" w:rsidRDefault="00A40271" w:rsidP="00A40271">
      <w:pPr>
        <w:pStyle w:val="Header"/>
        <w:rPr>
          <w:rFonts w:eastAsia="MS Mincho" w:cs="Arial"/>
          <w:bCs/>
          <w:noProof w:val="0"/>
          <w:sz w:val="28"/>
          <w:lang w:eastAsia="ja-JP"/>
        </w:rPr>
      </w:pPr>
      <w:r w:rsidRPr="00CC5111">
        <w:rPr>
          <w:rFonts w:eastAsia="MS Mincho" w:cs="Arial"/>
          <w:bCs/>
          <w:noProof w:val="0"/>
          <w:sz w:val="28"/>
          <w:lang w:eastAsia="ja-JP"/>
        </w:rPr>
        <w:t>Document for: Discussion and Decision</w:t>
      </w:r>
    </w:p>
    <w:bookmarkEnd w:id="0"/>
    <w:bookmarkEnd w:id="1"/>
    <w:p w14:paraId="34810E3F" w14:textId="77777777" w:rsidR="00EE036A" w:rsidRPr="00CC5111"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2CF8BC3D" w:rsidR="00EE036A" w:rsidRPr="00CC5111" w:rsidRDefault="00EE036A" w:rsidP="00EE036A">
      <w:pPr>
        <w:pStyle w:val="Heading1"/>
        <w:jc w:val="both"/>
        <w:rPr>
          <w:lang w:eastAsia="zh-TW"/>
        </w:rPr>
      </w:pPr>
      <w:r w:rsidRPr="00CC5111">
        <w:rPr>
          <w:rFonts w:hint="eastAsia"/>
          <w:lang w:eastAsia="zh-TW"/>
        </w:rPr>
        <w:t>Introduction</w:t>
      </w:r>
      <w:r w:rsidR="0002119D" w:rsidRPr="00CC5111">
        <w:rPr>
          <w:lang w:eastAsia="zh-TW"/>
        </w:rPr>
        <w:t xml:space="preserve"> </w:t>
      </w:r>
    </w:p>
    <w:p w14:paraId="3BA7F0D0" w14:textId="5EB3C931" w:rsidR="00D0331B" w:rsidRPr="00CC5111" w:rsidRDefault="00D0331B" w:rsidP="00D0331B">
      <w:pPr>
        <w:rPr>
          <w:rFonts w:eastAsia="Times"/>
          <w:sz w:val="24"/>
          <w:szCs w:val="24"/>
          <w:lang w:val="en-US"/>
        </w:rPr>
      </w:pPr>
      <w:r w:rsidRPr="00CC5111">
        <w:rPr>
          <w:rFonts w:eastAsia="Times"/>
          <w:sz w:val="24"/>
          <w:szCs w:val="24"/>
          <w:lang w:val="en-US"/>
        </w:rPr>
        <w:t xml:space="preserve">A Rel-19 Work item for XR enhancement has been approved in RAN#102 </w:t>
      </w:r>
      <w:r w:rsidRPr="00CC5111">
        <w:rPr>
          <w:rFonts w:eastAsia="Times"/>
          <w:sz w:val="24"/>
          <w:szCs w:val="24"/>
          <w:lang w:val="en-US"/>
        </w:rPr>
        <w:fldChar w:fldCharType="begin"/>
      </w:r>
      <w:r w:rsidRPr="00CC5111">
        <w:rPr>
          <w:rFonts w:eastAsia="Times"/>
          <w:sz w:val="24"/>
          <w:szCs w:val="24"/>
          <w:lang w:val="en-US"/>
        </w:rPr>
        <w:instrText xml:space="preserve"> REF _Ref158389478 \r \h </w:instrText>
      </w:r>
      <w:r w:rsidRPr="00CC5111">
        <w:rPr>
          <w:rFonts w:eastAsia="Times"/>
          <w:sz w:val="24"/>
          <w:szCs w:val="24"/>
          <w:lang w:val="en-US"/>
        </w:rPr>
      </w:r>
      <w:r w:rsidRPr="00CC5111">
        <w:rPr>
          <w:rFonts w:eastAsia="Times"/>
          <w:sz w:val="24"/>
          <w:szCs w:val="24"/>
          <w:lang w:val="en-US"/>
        </w:rPr>
        <w:fldChar w:fldCharType="separate"/>
      </w:r>
      <w:r w:rsidRPr="00CC5111">
        <w:rPr>
          <w:rFonts w:eastAsia="Times"/>
          <w:sz w:val="24"/>
          <w:szCs w:val="24"/>
          <w:lang w:val="en-US"/>
        </w:rPr>
        <w:t>[2]</w:t>
      </w:r>
      <w:r w:rsidRPr="00CC5111">
        <w:rPr>
          <w:rFonts w:eastAsia="Times"/>
          <w:sz w:val="24"/>
          <w:szCs w:val="24"/>
          <w:lang w:val="en-US"/>
        </w:rPr>
        <w:fldChar w:fldCharType="end"/>
      </w:r>
      <w:r w:rsidRPr="00CC5111">
        <w:rPr>
          <w:rFonts w:eastAsia="Times"/>
          <w:sz w:val="24"/>
          <w:szCs w:val="24"/>
          <w:lang w:val="en-US"/>
        </w:rPr>
        <w:t>. The following objective for transmission and reception during measurement gaps has been captured as below:</w:t>
      </w:r>
    </w:p>
    <w:p w14:paraId="5FC50219" w14:textId="77777777" w:rsidR="00D0331B" w:rsidRPr="00CC5111" w:rsidRDefault="00D0331B" w:rsidP="00D0331B">
      <w:pPr>
        <w:pStyle w:val="Guidance"/>
        <w:numPr>
          <w:ilvl w:val="0"/>
          <w:numId w:val="53"/>
        </w:numPr>
        <w:jc w:val="both"/>
        <w:rPr>
          <w:rFonts w:eastAsia="Times"/>
          <w:i w:val="0"/>
          <w:color w:val="auto"/>
          <w:sz w:val="24"/>
          <w:szCs w:val="24"/>
          <w:lang w:val="en-US" w:eastAsia="en-US"/>
        </w:rPr>
      </w:pPr>
      <w:r w:rsidRPr="00CC5111">
        <w:rPr>
          <w:rFonts w:eastAsia="Times"/>
          <w:i w:val="0"/>
          <w:color w:val="auto"/>
          <w:sz w:val="24"/>
          <w:szCs w:val="24"/>
          <w:lang w:val="en-US" w:eastAsia="en-US"/>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CC5111">
        <w:rPr>
          <w:rFonts w:eastAsia="Times"/>
          <w:i w:val="0"/>
          <w:color w:val="auto"/>
          <w:sz w:val="24"/>
          <w:szCs w:val="24"/>
          <w:lang w:val="en-US" w:eastAsia="en-US"/>
        </w:rPr>
        <w:t>etc</w:t>
      </w:r>
      <w:proofErr w:type="spellEnd"/>
      <w:r w:rsidRPr="00CC5111">
        <w:rPr>
          <w:rFonts w:eastAsia="Times"/>
          <w:i w:val="0"/>
          <w:color w:val="auto"/>
          <w:sz w:val="24"/>
          <w:szCs w:val="24"/>
          <w:lang w:val="en-US" w:eastAsia="en-US"/>
        </w:rPr>
        <w:t xml:space="preserve">). [RAN1, RAN2, RAN4] </w:t>
      </w:r>
    </w:p>
    <w:p w14:paraId="4E1618DF" w14:textId="69D1DA65" w:rsidR="00CD0148" w:rsidRPr="00CC5111" w:rsidRDefault="00D0331B" w:rsidP="00D0331B">
      <w:pPr>
        <w:pStyle w:val="Guidance"/>
        <w:numPr>
          <w:ilvl w:val="0"/>
          <w:numId w:val="54"/>
        </w:numPr>
        <w:jc w:val="both"/>
        <w:rPr>
          <w:rFonts w:eastAsia="Times"/>
          <w:i w:val="0"/>
          <w:color w:val="auto"/>
          <w:sz w:val="24"/>
          <w:szCs w:val="24"/>
          <w:lang w:val="en-US" w:eastAsia="en-US"/>
        </w:rPr>
      </w:pPr>
      <w:r w:rsidRPr="00CC5111">
        <w:rPr>
          <w:rFonts w:eastAsia="Times"/>
          <w:i w:val="0"/>
          <w:color w:val="auto"/>
          <w:sz w:val="24"/>
          <w:szCs w:val="24"/>
          <w:lang w:val="en-US" w:eastAsia="en-US"/>
        </w:rPr>
        <w:t>Specify the corresponding measurement gap and scheduling restriction to enable the identified enhancements with RRM performance impact taken into consideration, work being triggered by LS. [RAN4]</w:t>
      </w:r>
    </w:p>
    <w:p w14:paraId="003DD161" w14:textId="41B76709" w:rsidR="006F17FA" w:rsidRPr="00CC5111" w:rsidRDefault="00EE036A" w:rsidP="00901EB7">
      <w:pPr>
        <w:jc w:val="both"/>
        <w:rPr>
          <w:rFonts w:eastAsia="Times"/>
          <w:sz w:val="24"/>
          <w:szCs w:val="24"/>
          <w:lang w:val="en-US"/>
        </w:rPr>
      </w:pPr>
      <w:r w:rsidRPr="00CC5111">
        <w:rPr>
          <w:rFonts w:eastAsia="Times"/>
          <w:sz w:val="24"/>
          <w:szCs w:val="24"/>
          <w:lang w:val="en-US"/>
        </w:rPr>
        <w:t xml:space="preserve">In this </w:t>
      </w:r>
      <w:proofErr w:type="spellStart"/>
      <w:r w:rsidRPr="00CC5111">
        <w:rPr>
          <w:rFonts w:eastAsia="Times"/>
          <w:sz w:val="24"/>
          <w:szCs w:val="24"/>
          <w:lang w:val="en-US"/>
        </w:rPr>
        <w:t>Tdoc</w:t>
      </w:r>
      <w:proofErr w:type="spellEnd"/>
      <w:r w:rsidRPr="00CC5111">
        <w:rPr>
          <w:rFonts w:eastAsia="Times"/>
          <w:sz w:val="24"/>
          <w:szCs w:val="24"/>
          <w:lang w:val="en-US"/>
        </w:rPr>
        <w:t xml:space="preserve">, we </w:t>
      </w:r>
      <w:r w:rsidR="005A3B77" w:rsidRPr="00CC5111">
        <w:rPr>
          <w:rFonts w:eastAsia="Times"/>
          <w:sz w:val="24"/>
          <w:szCs w:val="24"/>
          <w:lang w:val="en-US"/>
        </w:rPr>
        <w:t xml:space="preserve">propose some techniques to specify the </w:t>
      </w:r>
      <w:r w:rsidR="00D0331B" w:rsidRPr="00CC5111">
        <w:rPr>
          <w:rFonts w:eastAsia="Times"/>
          <w:sz w:val="24"/>
          <w:szCs w:val="24"/>
          <w:lang w:val="en-US"/>
        </w:rPr>
        <w:t>above</w:t>
      </w:r>
      <w:r w:rsidR="005A3B77" w:rsidRPr="00CC5111">
        <w:rPr>
          <w:rFonts w:eastAsia="Times"/>
          <w:sz w:val="24"/>
          <w:szCs w:val="24"/>
          <w:lang w:val="en-US"/>
        </w:rPr>
        <w:t xml:space="preserve"> enhancement. </w:t>
      </w:r>
    </w:p>
    <w:p w14:paraId="5C7988C2" w14:textId="77777777" w:rsidR="009407B7" w:rsidRPr="00CC5111" w:rsidRDefault="009407B7" w:rsidP="009407B7">
      <w:pPr>
        <w:rPr>
          <w:sz w:val="24"/>
          <w:szCs w:val="24"/>
          <w:lang w:eastAsia="zh-TW"/>
        </w:rPr>
      </w:pPr>
    </w:p>
    <w:p w14:paraId="3D805C1C" w14:textId="4C261142" w:rsidR="009407B7" w:rsidRPr="00CC5111" w:rsidRDefault="009407B7" w:rsidP="009407B7">
      <w:pPr>
        <w:pStyle w:val="Heading1"/>
        <w:jc w:val="both"/>
        <w:rPr>
          <w:lang w:val="en-US"/>
        </w:rPr>
      </w:pPr>
      <w:r w:rsidRPr="00CC5111">
        <w:rPr>
          <w:lang w:val="en-US" w:eastAsia="zh-TW"/>
        </w:rPr>
        <w:t>Remaining Open Issues</w:t>
      </w:r>
    </w:p>
    <w:p w14:paraId="626040E7" w14:textId="63E5EE55" w:rsidR="00FA5D0A" w:rsidRPr="00CC5111" w:rsidRDefault="00FA5D0A" w:rsidP="00600C72">
      <w:pPr>
        <w:spacing w:after="120"/>
        <w:jc w:val="both"/>
        <w:textAlignment w:val="center"/>
        <w:rPr>
          <w:sz w:val="24"/>
          <w:szCs w:val="24"/>
        </w:rPr>
      </w:pPr>
      <w:r w:rsidRPr="00CC5111">
        <w:rPr>
          <w:sz w:val="24"/>
          <w:szCs w:val="24"/>
        </w:rPr>
        <w:t>In RAN1#1</w:t>
      </w:r>
      <w:r w:rsidR="00202CF9" w:rsidRPr="00CC5111">
        <w:rPr>
          <w:sz w:val="24"/>
          <w:szCs w:val="24"/>
        </w:rPr>
        <w:t>20</w:t>
      </w:r>
      <w:r w:rsidRPr="00CC5111">
        <w:rPr>
          <w:sz w:val="24"/>
          <w:szCs w:val="24"/>
        </w:rPr>
        <w:t>, the following agreements have been made:</w:t>
      </w:r>
    </w:p>
    <w:p w14:paraId="3AC44045" w14:textId="77777777" w:rsidR="00202CF9" w:rsidRPr="00CC5111" w:rsidRDefault="00202CF9" w:rsidP="00202CF9">
      <w:pPr>
        <w:rPr>
          <w:sz w:val="24"/>
          <w:szCs w:val="24"/>
          <w:lang w:eastAsia="x-none"/>
        </w:rPr>
      </w:pPr>
    </w:p>
    <w:p w14:paraId="15E26897" w14:textId="77777777" w:rsidR="00202CF9" w:rsidRPr="00CC5111" w:rsidRDefault="00202CF9" w:rsidP="00202CF9">
      <w:pPr>
        <w:rPr>
          <w:sz w:val="24"/>
          <w:szCs w:val="24"/>
        </w:rPr>
      </w:pPr>
      <w:r w:rsidRPr="00CC5111">
        <w:rPr>
          <w:b/>
          <w:bCs/>
          <w:sz w:val="24"/>
          <w:szCs w:val="24"/>
          <w:highlight w:val="green"/>
        </w:rPr>
        <w:t>Agreement</w:t>
      </w:r>
    </w:p>
    <w:p w14:paraId="29D3344F" w14:textId="77777777" w:rsidR="00202CF9" w:rsidRPr="00CC5111" w:rsidRDefault="00202CF9" w:rsidP="00202CF9">
      <w:pPr>
        <w:rPr>
          <w:sz w:val="24"/>
          <w:szCs w:val="24"/>
        </w:rPr>
      </w:pPr>
      <w:r w:rsidRPr="00CC5111">
        <w:rPr>
          <w:sz w:val="24"/>
          <w:szCs w:val="24"/>
        </w:rPr>
        <w:t>Confirm the Working assumption in RAN1#118 for supporting Alt. 1-1:</w:t>
      </w:r>
    </w:p>
    <w:tbl>
      <w:tblPr>
        <w:tblStyle w:val="TableGrid"/>
        <w:tblW w:w="0" w:type="auto"/>
        <w:tblLook w:val="04A0" w:firstRow="1" w:lastRow="0" w:firstColumn="1" w:lastColumn="0" w:noHBand="0" w:noVBand="1"/>
      </w:tblPr>
      <w:tblGrid>
        <w:gridCol w:w="9350"/>
      </w:tblGrid>
      <w:tr w:rsidR="00202CF9" w:rsidRPr="00CC5111" w14:paraId="74666D0E" w14:textId="77777777" w:rsidTr="00B72E6B">
        <w:tc>
          <w:tcPr>
            <w:tcW w:w="9629" w:type="dxa"/>
          </w:tcPr>
          <w:p w14:paraId="268A912B" w14:textId="77777777" w:rsidR="00202CF9" w:rsidRPr="00CC5111" w:rsidRDefault="00202CF9" w:rsidP="00B72E6B">
            <w:pPr>
              <w:rPr>
                <w:b/>
                <w:bCs/>
                <w:sz w:val="24"/>
                <w:szCs w:val="24"/>
              </w:rPr>
            </w:pPr>
            <w:r w:rsidRPr="00CC5111">
              <w:rPr>
                <w:b/>
                <w:bCs/>
                <w:sz w:val="24"/>
                <w:szCs w:val="24"/>
                <w:highlight w:val="darkYellow"/>
              </w:rPr>
              <w:t>Working Assumption</w:t>
            </w:r>
          </w:p>
          <w:p w14:paraId="2CEFE9A0" w14:textId="77777777" w:rsidR="00202CF9" w:rsidRPr="00CC5111" w:rsidRDefault="00202CF9" w:rsidP="00B72E6B">
            <w:pPr>
              <w:rPr>
                <w:sz w:val="24"/>
                <w:szCs w:val="24"/>
              </w:rPr>
            </w:pPr>
            <w:r w:rsidRPr="00CC5111">
              <w:rPr>
                <w:sz w:val="24"/>
                <w:szCs w:val="24"/>
              </w:rPr>
              <w:t xml:space="preserve">For solutions based on triggering/enabling by network </w:t>
            </w:r>
            <w:proofErr w:type="spellStart"/>
            <w:r w:rsidRPr="00CC5111">
              <w:rPr>
                <w:sz w:val="24"/>
                <w:szCs w:val="24"/>
              </w:rPr>
              <w:t>signaling</w:t>
            </w:r>
            <w:proofErr w:type="spellEnd"/>
            <w:r w:rsidRPr="00CC5111">
              <w:rPr>
                <w:sz w:val="24"/>
                <w:szCs w:val="24"/>
              </w:rPr>
              <w:t xml:space="preserve"> to enable Tx/Rx in gaps/restrictions that are caused by RRM measurements select the following option:</w:t>
            </w:r>
          </w:p>
          <w:p w14:paraId="0AE27226" w14:textId="77777777" w:rsidR="00202CF9" w:rsidRPr="00CC5111" w:rsidRDefault="00202CF9" w:rsidP="00202CF9">
            <w:pPr>
              <w:pStyle w:val="ListParagraph"/>
              <w:numPr>
                <w:ilvl w:val="0"/>
                <w:numId w:val="55"/>
              </w:numPr>
              <w:spacing w:after="160" w:line="278" w:lineRule="auto"/>
              <w:rPr>
                <w:rFonts w:ascii="Times New Roman" w:hAnsi="Times New Roman" w:cs="Times New Roman"/>
                <w:lang w:val="en-US"/>
              </w:rPr>
            </w:pPr>
            <w:r w:rsidRPr="00CC5111">
              <w:rPr>
                <w:rFonts w:ascii="Times New Roman" w:hAnsi="Times New Roman" w:cs="Times New Roman"/>
                <w:lang w:val="en-US"/>
              </w:rPr>
              <w:t xml:space="preserve">Alt. 1: Dynamic indication to enable Tx/Rx in particular gap/restriction that are caused by RRM measurements. </w:t>
            </w:r>
          </w:p>
          <w:p w14:paraId="2C41D92C" w14:textId="77777777" w:rsidR="00202CF9" w:rsidRPr="00CC5111" w:rsidRDefault="00202CF9" w:rsidP="00202CF9">
            <w:pPr>
              <w:pStyle w:val="ListParagraph"/>
              <w:numPr>
                <w:ilvl w:val="1"/>
                <w:numId w:val="55"/>
              </w:numPr>
              <w:spacing w:after="160" w:line="278" w:lineRule="auto"/>
              <w:rPr>
                <w:rFonts w:ascii="Times New Roman" w:hAnsi="Times New Roman" w:cs="Times New Roman"/>
                <w:lang w:val="en-US"/>
              </w:rPr>
            </w:pPr>
            <w:r w:rsidRPr="00CC5111">
              <w:rPr>
                <w:rFonts w:ascii="Times New Roman" w:hAnsi="Times New Roman" w:cs="Times New Roman"/>
                <w:b/>
                <w:bCs/>
                <w:lang w:val="en-US"/>
              </w:rPr>
              <w:t>Alt 1-1</w:t>
            </w:r>
            <w:r w:rsidRPr="00CC5111">
              <w:rPr>
                <w:rFonts w:ascii="Times New Roman" w:hAnsi="Times New Roman" w:cs="Times New Roman"/>
                <w:lang w:val="en-US"/>
              </w:rPr>
              <w:t>: Explicit indication by DCI to skip a particular gap/restriction;</w:t>
            </w:r>
          </w:p>
          <w:p w14:paraId="75353DC1" w14:textId="77777777" w:rsidR="00202CF9" w:rsidRPr="00CC5111" w:rsidRDefault="00202CF9" w:rsidP="00202CF9">
            <w:pPr>
              <w:pStyle w:val="ListParagraph"/>
              <w:numPr>
                <w:ilvl w:val="2"/>
                <w:numId w:val="55"/>
              </w:numPr>
              <w:spacing w:after="160" w:line="278" w:lineRule="auto"/>
              <w:rPr>
                <w:rFonts w:ascii="Times New Roman" w:hAnsi="Times New Roman" w:cs="Times New Roman"/>
                <w:lang w:val="en-US"/>
              </w:rPr>
            </w:pPr>
            <w:r w:rsidRPr="00CC5111">
              <w:rPr>
                <w:rFonts w:ascii="Times New Roman" w:hAnsi="Times New Roman" w:cs="Times New Roman"/>
                <w:lang w:val="en-US"/>
              </w:rPr>
              <w:t>Indication is included as part of scheduling DCI:</w:t>
            </w:r>
          </w:p>
          <w:p w14:paraId="168F0DFA" w14:textId="77777777" w:rsidR="00202CF9" w:rsidRPr="00CC5111" w:rsidRDefault="00202CF9" w:rsidP="00202CF9">
            <w:pPr>
              <w:pStyle w:val="ListParagraph"/>
              <w:numPr>
                <w:ilvl w:val="3"/>
                <w:numId w:val="55"/>
              </w:numPr>
              <w:spacing w:after="160" w:line="278" w:lineRule="auto"/>
              <w:rPr>
                <w:rFonts w:ascii="Times New Roman" w:hAnsi="Times New Roman" w:cs="Times New Roman"/>
                <w:lang w:val="en-US"/>
              </w:rPr>
            </w:pPr>
            <w:r w:rsidRPr="00CC5111">
              <w:rPr>
                <w:rFonts w:ascii="Times New Roman" w:hAnsi="Times New Roman" w:cs="Times New Roman"/>
                <w:lang w:val="en-US"/>
              </w:rPr>
              <w:t>Bit-field size is one bit;</w:t>
            </w:r>
          </w:p>
          <w:p w14:paraId="0917E2DA" w14:textId="77777777" w:rsidR="00202CF9" w:rsidRPr="00CC5111" w:rsidRDefault="00202CF9" w:rsidP="00202CF9">
            <w:pPr>
              <w:numPr>
                <w:ilvl w:val="4"/>
                <w:numId w:val="55"/>
              </w:numPr>
              <w:spacing w:after="160" w:line="278" w:lineRule="auto"/>
              <w:rPr>
                <w:sz w:val="24"/>
                <w:szCs w:val="24"/>
              </w:rPr>
            </w:pPr>
            <w:r w:rsidRPr="00CC5111">
              <w:rPr>
                <w:sz w:val="24"/>
                <w:szCs w:val="24"/>
              </w:rPr>
              <w:lastRenderedPageBreak/>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1872A434" w14:textId="77777777" w:rsidR="00202CF9" w:rsidRPr="00CC5111" w:rsidRDefault="00202CF9" w:rsidP="00202CF9">
      <w:pPr>
        <w:rPr>
          <w:sz w:val="24"/>
          <w:szCs w:val="24"/>
        </w:rPr>
      </w:pPr>
    </w:p>
    <w:p w14:paraId="31B3A6C8" w14:textId="77777777" w:rsidR="00202CF9" w:rsidRPr="00CC5111" w:rsidRDefault="00202CF9" w:rsidP="00202CF9">
      <w:pPr>
        <w:rPr>
          <w:b/>
          <w:bCs/>
          <w:sz w:val="24"/>
          <w:szCs w:val="24"/>
          <w:lang w:eastAsia="x-none"/>
        </w:rPr>
      </w:pPr>
      <w:r w:rsidRPr="00CC5111">
        <w:rPr>
          <w:b/>
          <w:bCs/>
          <w:sz w:val="24"/>
          <w:szCs w:val="24"/>
          <w:highlight w:val="green"/>
          <w:lang w:eastAsia="x-none"/>
        </w:rPr>
        <w:t>Agreement</w:t>
      </w:r>
    </w:p>
    <w:p w14:paraId="54120811" w14:textId="77777777" w:rsidR="00202CF9" w:rsidRPr="00CC5111" w:rsidRDefault="00202CF9" w:rsidP="00202CF9">
      <w:pPr>
        <w:rPr>
          <w:sz w:val="24"/>
          <w:szCs w:val="24"/>
        </w:rPr>
      </w:pPr>
      <w:r w:rsidRPr="00CC5111">
        <w:rPr>
          <w:sz w:val="24"/>
          <w:szCs w:val="24"/>
        </w:rPr>
        <w:t>Agreement from RAN1#119 is updated (red part)</w:t>
      </w:r>
    </w:p>
    <w:p w14:paraId="52CC63F8" w14:textId="77777777" w:rsidR="00202CF9" w:rsidRPr="00CC5111" w:rsidRDefault="00202CF9" w:rsidP="00202CF9">
      <w:pPr>
        <w:rPr>
          <w:sz w:val="24"/>
          <w:szCs w:val="24"/>
        </w:rPr>
      </w:pPr>
      <w:r w:rsidRPr="00CC5111">
        <w:rPr>
          <w:sz w:val="24"/>
          <w:szCs w:val="24"/>
        </w:rPr>
        <w:t>For explicit indication by DCI to skip a particular gap/restriction, in addition to DCI formats 0_1/1_1 and 0_2/1_2, one bit indication can be included as a part of DCI formats 0_3/1_3.</w:t>
      </w:r>
    </w:p>
    <w:p w14:paraId="0623FB3D" w14:textId="77777777" w:rsidR="00202CF9" w:rsidRPr="00CC5111" w:rsidRDefault="00202CF9" w:rsidP="00202CF9">
      <w:pPr>
        <w:numPr>
          <w:ilvl w:val="0"/>
          <w:numId w:val="70"/>
        </w:numPr>
        <w:spacing w:after="160" w:line="278" w:lineRule="auto"/>
        <w:contextualSpacing/>
        <w:rPr>
          <w:sz w:val="24"/>
          <w:szCs w:val="24"/>
          <w:lang w:eastAsia="x-none"/>
        </w:rPr>
      </w:pPr>
      <w:r w:rsidRPr="00CC5111">
        <w:rPr>
          <w:sz w:val="24"/>
          <w:szCs w:val="24"/>
          <w:lang w:eastAsia="x-none"/>
        </w:rPr>
        <w:t>Explicit indication can be configured for each DCI format individually by higher layer.</w:t>
      </w:r>
    </w:p>
    <w:p w14:paraId="2D69F3FB" w14:textId="77777777" w:rsidR="00202CF9" w:rsidRPr="00CC5111" w:rsidRDefault="00202CF9" w:rsidP="00202CF9">
      <w:pPr>
        <w:numPr>
          <w:ilvl w:val="0"/>
          <w:numId w:val="70"/>
        </w:numPr>
        <w:spacing w:after="160" w:line="278" w:lineRule="auto"/>
        <w:contextualSpacing/>
        <w:rPr>
          <w:sz w:val="24"/>
          <w:szCs w:val="24"/>
          <w:lang w:eastAsia="x-none"/>
        </w:rPr>
      </w:pPr>
      <w:r w:rsidRPr="00CC5111">
        <w:rPr>
          <w:sz w:val="24"/>
          <w:szCs w:val="24"/>
          <w:lang w:eastAsia="x-none"/>
        </w:rPr>
        <w:t>The skipping indication corresponds to the first gap/restriction occasion among co-scheduled cells by the DCI (Type-1C field)</w:t>
      </w:r>
    </w:p>
    <w:p w14:paraId="54C1AD16" w14:textId="77777777" w:rsidR="00202CF9" w:rsidRPr="00CC5111" w:rsidRDefault="00202CF9" w:rsidP="00202CF9">
      <w:pPr>
        <w:rPr>
          <w:sz w:val="24"/>
          <w:szCs w:val="24"/>
        </w:rPr>
      </w:pPr>
      <w:r w:rsidRPr="00CC5111">
        <w:rPr>
          <w:sz w:val="24"/>
          <w:szCs w:val="24"/>
        </w:rPr>
        <w:t>Above applies only for intra-band CA cases (same SCS for cells in the set of co-scheduled cells).</w:t>
      </w:r>
    </w:p>
    <w:p w14:paraId="251A1B15" w14:textId="77777777" w:rsidR="00202CF9" w:rsidRPr="00CC5111" w:rsidRDefault="00202CF9" w:rsidP="00202CF9">
      <w:pPr>
        <w:numPr>
          <w:ilvl w:val="0"/>
          <w:numId w:val="70"/>
        </w:numPr>
        <w:spacing w:after="160" w:line="278" w:lineRule="auto"/>
        <w:contextualSpacing/>
        <w:rPr>
          <w:sz w:val="24"/>
          <w:szCs w:val="24"/>
        </w:rPr>
      </w:pPr>
      <w:r w:rsidRPr="00CC5111">
        <w:rPr>
          <w:sz w:val="24"/>
          <w:szCs w:val="24"/>
        </w:rPr>
        <w:t>Alt1: If skipping field is configured to DCI format 0_3/1_3, only cells that are intra-band (and have same SCS) can be co-scheduled. In other words, if co-scheduled cells could be inter-band, skipping indication field cannot be configured.</w:t>
      </w:r>
    </w:p>
    <w:p w14:paraId="758DB24B" w14:textId="77777777" w:rsidR="00202CF9" w:rsidRPr="00CC5111" w:rsidRDefault="00202CF9" w:rsidP="00202CF9">
      <w:pPr>
        <w:rPr>
          <w:sz w:val="24"/>
          <w:szCs w:val="24"/>
          <w:lang w:eastAsia="x-none"/>
        </w:rPr>
      </w:pPr>
    </w:p>
    <w:p w14:paraId="57FDD3E4" w14:textId="77777777" w:rsidR="00202CF9" w:rsidRPr="00CC5111" w:rsidRDefault="00202CF9" w:rsidP="00202CF9">
      <w:pPr>
        <w:rPr>
          <w:sz w:val="24"/>
          <w:szCs w:val="24"/>
          <w:lang w:eastAsia="x-none"/>
        </w:rPr>
      </w:pPr>
    </w:p>
    <w:p w14:paraId="3FB6BA34" w14:textId="77777777" w:rsidR="00202CF9" w:rsidRPr="00CC5111" w:rsidRDefault="00202CF9" w:rsidP="00202CF9">
      <w:pPr>
        <w:rPr>
          <w:b/>
          <w:bCs/>
          <w:sz w:val="24"/>
          <w:szCs w:val="24"/>
          <w:lang w:eastAsia="x-none"/>
        </w:rPr>
      </w:pPr>
      <w:r w:rsidRPr="00CC5111">
        <w:rPr>
          <w:b/>
          <w:bCs/>
          <w:sz w:val="24"/>
          <w:szCs w:val="24"/>
          <w:highlight w:val="green"/>
          <w:lang w:eastAsia="x-none"/>
        </w:rPr>
        <w:t>Agreement</w:t>
      </w:r>
    </w:p>
    <w:p w14:paraId="601237B4" w14:textId="77777777" w:rsidR="00202CF9" w:rsidRPr="00CC5111" w:rsidRDefault="00202CF9" w:rsidP="00202CF9">
      <w:pPr>
        <w:contextualSpacing/>
        <w:rPr>
          <w:sz w:val="24"/>
          <w:szCs w:val="24"/>
        </w:rPr>
      </w:pPr>
      <w:r w:rsidRPr="00CC5111">
        <w:rPr>
          <w:sz w:val="24"/>
          <w:szCs w:val="24"/>
        </w:rPr>
        <w:t xml:space="preserve">When measurement gap/restriction is indicated to be skipped by explicit indication by DCI format 1_1/1_2 that does not schedule PDSCH and </w:t>
      </w:r>
    </w:p>
    <w:p w14:paraId="35EFD3ED" w14:textId="77777777" w:rsidR="00202CF9" w:rsidRPr="00CC5111" w:rsidRDefault="00202CF9" w:rsidP="00202CF9">
      <w:pPr>
        <w:pStyle w:val="ListParagraph"/>
        <w:numPr>
          <w:ilvl w:val="0"/>
          <w:numId w:val="74"/>
        </w:numPr>
        <w:spacing w:after="0" w:line="240" w:lineRule="auto"/>
        <w:rPr>
          <w:rFonts w:ascii="Times New Roman" w:hAnsi="Times New Roman" w:cs="Times New Roman"/>
        </w:rPr>
      </w:pPr>
      <w:r w:rsidRPr="00CC5111">
        <w:rPr>
          <w:rFonts w:ascii="Times New Roman" w:hAnsi="Times New Roman" w:cs="Times New Roman"/>
        </w:rPr>
        <w:t>if CIF field is present, the scheduled cell for the skipping indication is determined by CIF field.</w:t>
      </w:r>
    </w:p>
    <w:p w14:paraId="4CA1F547" w14:textId="77777777" w:rsidR="00202CF9" w:rsidRPr="00CC5111" w:rsidRDefault="00202CF9" w:rsidP="00202CF9">
      <w:pPr>
        <w:pStyle w:val="ListParagraph"/>
        <w:numPr>
          <w:ilvl w:val="0"/>
          <w:numId w:val="74"/>
        </w:numPr>
        <w:spacing w:after="0" w:line="240" w:lineRule="auto"/>
        <w:rPr>
          <w:rFonts w:ascii="Times New Roman" w:hAnsi="Times New Roman" w:cs="Times New Roman"/>
        </w:rPr>
      </w:pPr>
      <w:r w:rsidRPr="00CC5111">
        <w:rPr>
          <w:rFonts w:ascii="Times New Roman" w:hAnsi="Times New Roman" w:cs="Times New Roman"/>
        </w:rPr>
        <w:t>if CIF field is not present, the scheduled cell for the skipping indication is the scheduling cell.</w:t>
      </w:r>
    </w:p>
    <w:p w14:paraId="33A1FD98" w14:textId="77777777" w:rsidR="00FA5D0A" w:rsidRPr="00CC5111" w:rsidRDefault="00FA5D0A" w:rsidP="009407B7">
      <w:pPr>
        <w:spacing w:after="120"/>
        <w:jc w:val="both"/>
        <w:textAlignment w:val="center"/>
        <w:rPr>
          <w:sz w:val="24"/>
          <w:szCs w:val="24"/>
        </w:rPr>
      </w:pPr>
    </w:p>
    <w:p w14:paraId="2F563767" w14:textId="5213788E" w:rsidR="0044311E" w:rsidRPr="00CC5111" w:rsidRDefault="0044311E" w:rsidP="009407B7">
      <w:pPr>
        <w:spacing w:after="120"/>
        <w:jc w:val="both"/>
        <w:textAlignment w:val="center"/>
        <w:rPr>
          <w:b/>
          <w:bCs/>
          <w:sz w:val="24"/>
          <w:szCs w:val="24"/>
          <w:u w:val="single"/>
        </w:rPr>
      </w:pPr>
      <w:r w:rsidRPr="00CC5111">
        <w:rPr>
          <w:b/>
          <w:bCs/>
          <w:sz w:val="24"/>
          <w:szCs w:val="24"/>
          <w:u w:val="single"/>
        </w:rPr>
        <w:t>Conflicting DCI indications</w:t>
      </w:r>
    </w:p>
    <w:p w14:paraId="60B1D79D" w14:textId="77777777" w:rsidR="0044311E" w:rsidRPr="00CC5111" w:rsidRDefault="0044311E" w:rsidP="009407B7">
      <w:pPr>
        <w:spacing w:after="120"/>
        <w:jc w:val="both"/>
        <w:textAlignment w:val="center"/>
        <w:rPr>
          <w:b/>
          <w:bCs/>
          <w:sz w:val="24"/>
          <w:szCs w:val="24"/>
          <w:u w:val="single"/>
        </w:rPr>
      </w:pPr>
    </w:p>
    <w:p w14:paraId="2FB38AD0" w14:textId="5C7DC66E" w:rsidR="00AA727C" w:rsidRPr="00CC5111" w:rsidRDefault="00AA727C" w:rsidP="009407B7">
      <w:pPr>
        <w:spacing w:after="120"/>
        <w:jc w:val="both"/>
        <w:textAlignment w:val="center"/>
        <w:rPr>
          <w:sz w:val="24"/>
          <w:szCs w:val="24"/>
        </w:rPr>
      </w:pPr>
      <w:r w:rsidRPr="00CC5111">
        <w:rPr>
          <w:sz w:val="24"/>
          <w:szCs w:val="24"/>
        </w:rPr>
        <w:t xml:space="preserve">If the UE receives multiple DCIs (e.g., in the same PDCCH monitoring occasion, or with overlapping PDCCHs) that contain different values for the skipping indication field for the same measurement gap/restriction, particularly if the UE is configured with "Option 2" for interpreting bit "0" (where "0" means legacy behaviour, so a "0" and "1" would be a direct conflict) and to avoid this scenario it should be clearly specified that the UE doesn’t not expect inconsistent skipping indications in the same PDCCH or with multiple overlapping PDCCHs. </w:t>
      </w:r>
    </w:p>
    <w:p w14:paraId="0C1FA364" w14:textId="77777777" w:rsidR="00AA727C" w:rsidRPr="00CC5111" w:rsidRDefault="00AA727C" w:rsidP="009407B7">
      <w:pPr>
        <w:spacing w:after="120"/>
        <w:jc w:val="both"/>
        <w:textAlignment w:val="center"/>
        <w:rPr>
          <w:sz w:val="24"/>
          <w:szCs w:val="24"/>
        </w:rPr>
      </w:pPr>
    </w:p>
    <w:p w14:paraId="7F5746D8" w14:textId="77777777" w:rsidR="00AA727C" w:rsidRPr="00CC5111" w:rsidRDefault="00AA727C" w:rsidP="00AA727C">
      <w:pPr>
        <w:spacing w:after="120"/>
        <w:jc w:val="both"/>
        <w:textAlignment w:val="center"/>
        <w:rPr>
          <w:strike/>
          <w:sz w:val="24"/>
          <w:szCs w:val="24"/>
        </w:rPr>
      </w:pPr>
    </w:p>
    <w:p w14:paraId="5245D211" w14:textId="1B49F2B1" w:rsidR="00AA727C" w:rsidRPr="00CC5111" w:rsidRDefault="00AA727C" w:rsidP="00AA727C">
      <w:pPr>
        <w:pStyle w:val="ListParagraph"/>
        <w:numPr>
          <w:ilvl w:val="0"/>
          <w:numId w:val="60"/>
        </w:numPr>
        <w:spacing w:after="120"/>
        <w:jc w:val="both"/>
        <w:textAlignment w:val="center"/>
        <w:rPr>
          <w:rFonts w:ascii="Times New Roman" w:eastAsiaTheme="minorEastAsia" w:hAnsi="Times New Roman" w:cs="Times New Roman"/>
          <w:b/>
          <w:bCs/>
          <w:i/>
          <w:iCs/>
          <w:noProof/>
          <w:lang w:val="en-GB" w:eastAsia="zh-CN"/>
        </w:rPr>
      </w:pPr>
      <w:r w:rsidRPr="00CC5111">
        <w:rPr>
          <w:rFonts w:ascii="Times New Roman" w:eastAsiaTheme="minorEastAsia" w:hAnsi="Times New Roman" w:cs="Times New Roman"/>
          <w:b/>
          <w:bCs/>
          <w:i/>
          <w:iCs/>
          <w:noProof/>
          <w:lang w:val="en-GB" w:eastAsia="zh-CN"/>
        </w:rPr>
        <w:t>The UE doesn’t not expect inconsistent skipping indications in the same PDCCH or with multiple overlapping PDCCHs</w:t>
      </w:r>
    </w:p>
    <w:p w14:paraId="0CBE65E2" w14:textId="77777777" w:rsidR="00AA727C" w:rsidRPr="00CC5111" w:rsidRDefault="00AA727C" w:rsidP="009407B7">
      <w:pPr>
        <w:spacing w:after="120"/>
        <w:jc w:val="both"/>
        <w:textAlignment w:val="center"/>
        <w:rPr>
          <w:sz w:val="24"/>
          <w:szCs w:val="24"/>
        </w:rPr>
      </w:pPr>
    </w:p>
    <w:p w14:paraId="64F62B7C" w14:textId="77777777" w:rsidR="00E1452A" w:rsidRPr="00CC5111" w:rsidRDefault="00E1452A" w:rsidP="00AB6166">
      <w:pPr>
        <w:spacing w:after="120"/>
        <w:jc w:val="both"/>
        <w:textAlignment w:val="center"/>
        <w:rPr>
          <w:b/>
          <w:bCs/>
          <w:sz w:val="24"/>
          <w:szCs w:val="24"/>
          <w:u w:val="single"/>
        </w:rPr>
      </w:pPr>
    </w:p>
    <w:p w14:paraId="23A22D4C" w14:textId="2EC20993" w:rsidR="00AB6166" w:rsidRPr="00CC5111" w:rsidRDefault="00AB6166" w:rsidP="00AB6166">
      <w:pPr>
        <w:spacing w:after="120"/>
        <w:jc w:val="both"/>
        <w:textAlignment w:val="center"/>
        <w:rPr>
          <w:b/>
          <w:bCs/>
          <w:sz w:val="24"/>
          <w:szCs w:val="24"/>
          <w:u w:val="single"/>
        </w:rPr>
      </w:pPr>
      <w:r w:rsidRPr="00CC5111">
        <w:rPr>
          <w:b/>
          <w:bCs/>
          <w:sz w:val="24"/>
          <w:szCs w:val="24"/>
          <w:u w:val="single"/>
        </w:rPr>
        <w:t>Configuring which Measurement Gap configurations are applicable for DCI-based skipping</w:t>
      </w:r>
    </w:p>
    <w:p w14:paraId="34B87661" w14:textId="77777777" w:rsidR="00AB6166" w:rsidRPr="00CC5111" w:rsidRDefault="00AB6166" w:rsidP="009407B7">
      <w:pPr>
        <w:spacing w:after="120"/>
        <w:jc w:val="both"/>
        <w:textAlignment w:val="center"/>
        <w:rPr>
          <w:sz w:val="24"/>
          <w:szCs w:val="24"/>
        </w:rPr>
      </w:pPr>
    </w:p>
    <w:p w14:paraId="1C5A244F" w14:textId="77777777" w:rsidR="00AA727C" w:rsidRPr="00CC5111" w:rsidRDefault="00AA727C" w:rsidP="009407B7">
      <w:pPr>
        <w:spacing w:after="120"/>
        <w:jc w:val="both"/>
        <w:textAlignment w:val="center"/>
      </w:pPr>
    </w:p>
    <w:p w14:paraId="046C9EA4" w14:textId="107D958D" w:rsidR="00760B33" w:rsidRPr="00CC5111" w:rsidRDefault="00760B33" w:rsidP="00760B33">
      <w:pPr>
        <w:spacing w:before="100" w:beforeAutospacing="1" w:after="100" w:afterAutospacing="1"/>
        <w:rPr>
          <w:rFonts w:eastAsia="Times New Roman"/>
          <w:sz w:val="24"/>
          <w:szCs w:val="24"/>
          <w:lang w:val="en-001"/>
        </w:rPr>
      </w:pPr>
      <w:r w:rsidRPr="00760B33">
        <w:rPr>
          <w:rFonts w:eastAsia="Times New Roman"/>
          <w:sz w:val="24"/>
          <w:szCs w:val="24"/>
          <w:lang w:val="en-001"/>
        </w:rPr>
        <w:t xml:space="preserve">It </w:t>
      </w:r>
      <w:r w:rsidRPr="00CC5111">
        <w:rPr>
          <w:rFonts w:eastAsia="Times New Roman"/>
          <w:sz w:val="24"/>
          <w:szCs w:val="24"/>
        </w:rPr>
        <w:t xml:space="preserve">is agreed in the previous </w:t>
      </w:r>
      <w:r w:rsidRPr="00760B33">
        <w:rPr>
          <w:rFonts w:eastAsia="Times New Roman"/>
          <w:sz w:val="24"/>
          <w:szCs w:val="24"/>
          <w:lang w:val="en-001"/>
        </w:rPr>
        <w:t xml:space="preserve">RAN1 </w:t>
      </w:r>
      <w:r w:rsidR="00404ECE" w:rsidRPr="00CC5111">
        <w:rPr>
          <w:rFonts w:eastAsia="Times New Roman"/>
          <w:sz w:val="24"/>
          <w:szCs w:val="24"/>
        </w:rPr>
        <w:t>meetings</w:t>
      </w:r>
      <w:r w:rsidRPr="00760B33">
        <w:rPr>
          <w:rFonts w:eastAsia="Times New Roman"/>
          <w:sz w:val="24"/>
          <w:szCs w:val="24"/>
          <w:lang w:val="en-001"/>
        </w:rPr>
        <w:t xml:space="preserve"> that the 1-bit dynamic indication for skipping RRM measurement gaps/restrictions is configurable by higher layers on a per-DCI-format basis. </w:t>
      </w:r>
    </w:p>
    <w:p w14:paraId="4E1D1878" w14:textId="1ACE4535" w:rsidR="00760B33" w:rsidRPr="00760B33" w:rsidRDefault="00760B33" w:rsidP="00760B33">
      <w:pPr>
        <w:spacing w:before="100" w:beforeAutospacing="1" w:after="100" w:afterAutospacing="1"/>
        <w:rPr>
          <w:rFonts w:eastAsia="Times New Roman"/>
          <w:sz w:val="24"/>
          <w:szCs w:val="24"/>
          <w:lang w:val="en-001"/>
        </w:rPr>
      </w:pPr>
      <w:r w:rsidRPr="00760B33">
        <w:rPr>
          <w:rFonts w:eastAsia="Times New Roman"/>
          <w:sz w:val="24"/>
          <w:szCs w:val="24"/>
          <w:lang w:val="en-001"/>
        </w:rPr>
        <w:t xml:space="preserve">This provides a </w:t>
      </w:r>
      <w:r w:rsidRPr="00CC5111">
        <w:rPr>
          <w:rFonts w:eastAsia="Times New Roman"/>
          <w:sz w:val="24"/>
          <w:szCs w:val="24"/>
        </w:rPr>
        <w:t xml:space="preserve">good </w:t>
      </w:r>
      <w:r w:rsidRPr="00760B33">
        <w:rPr>
          <w:rFonts w:eastAsia="Times New Roman"/>
          <w:sz w:val="24"/>
          <w:szCs w:val="24"/>
          <w:lang w:val="en-001"/>
        </w:rPr>
        <w:t>foundational level of control.</w:t>
      </w:r>
      <w:r w:rsidRPr="00CC5111">
        <w:rPr>
          <w:rFonts w:eastAsia="Times New Roman"/>
          <w:sz w:val="24"/>
          <w:szCs w:val="24"/>
        </w:rPr>
        <w:t xml:space="preserve"> </w:t>
      </w:r>
      <w:r w:rsidRPr="00760B33">
        <w:rPr>
          <w:rFonts w:eastAsia="Times New Roman"/>
          <w:sz w:val="24"/>
          <w:szCs w:val="24"/>
          <w:lang w:val="en-001"/>
        </w:rPr>
        <w:t xml:space="preserve">However, to further enhance network flexibility and optimize the trade-off between enabling continuous XR traffic and maintaining adequate RRM performance, we </w:t>
      </w:r>
      <w:r w:rsidR="00404ECE" w:rsidRPr="00CC5111">
        <w:rPr>
          <w:rFonts w:eastAsia="Times New Roman"/>
          <w:sz w:val="24"/>
          <w:szCs w:val="24"/>
        </w:rPr>
        <w:t>believe that</w:t>
      </w:r>
      <w:r w:rsidRPr="00760B33">
        <w:rPr>
          <w:rFonts w:eastAsia="Times New Roman"/>
          <w:sz w:val="24"/>
          <w:szCs w:val="24"/>
          <w:lang w:val="en-001"/>
        </w:rPr>
        <w:t xml:space="preserve"> an additional layer of RRC control is beneficial. </w:t>
      </w:r>
      <w:r w:rsidRPr="00760B33">
        <w:rPr>
          <w:rFonts w:eastAsia="Times New Roman"/>
          <w:sz w:val="24"/>
          <w:szCs w:val="24"/>
        </w:rPr>
        <w:t xml:space="preserve">Specifically, we </w:t>
      </w:r>
      <w:r w:rsidR="00404ECE" w:rsidRPr="00CC5111">
        <w:rPr>
          <w:rFonts w:eastAsia="Times New Roman"/>
          <w:sz w:val="24"/>
          <w:szCs w:val="24"/>
        </w:rPr>
        <w:t>prefer</w:t>
      </w:r>
      <w:r w:rsidRPr="00760B33">
        <w:rPr>
          <w:rFonts w:eastAsia="Times New Roman"/>
          <w:sz w:val="24"/>
          <w:szCs w:val="24"/>
        </w:rPr>
        <w:t xml:space="preserve"> </w:t>
      </w:r>
      <w:r w:rsidR="00404ECE" w:rsidRPr="00CC5111">
        <w:rPr>
          <w:rFonts w:eastAsia="Times New Roman"/>
          <w:sz w:val="24"/>
          <w:szCs w:val="24"/>
        </w:rPr>
        <w:t xml:space="preserve">a </w:t>
      </w:r>
      <w:r w:rsidRPr="00760B33">
        <w:rPr>
          <w:rFonts w:eastAsia="Times New Roman"/>
          <w:sz w:val="24"/>
          <w:szCs w:val="24"/>
        </w:rPr>
        <w:t>mechanism that allows the network to activate or de-activate the applicability of</w:t>
      </w:r>
      <w:r w:rsidRPr="00760B33">
        <w:rPr>
          <w:rFonts w:eastAsia="Times New Roman"/>
          <w:sz w:val="24"/>
          <w:szCs w:val="24"/>
          <w:lang w:val="en-001"/>
        </w:rPr>
        <w:t xml:space="preserve"> </w:t>
      </w:r>
      <w:r w:rsidR="0019467B" w:rsidRPr="00CC5111">
        <w:rPr>
          <w:rFonts w:eastAsia="Times New Roman"/>
          <w:sz w:val="24"/>
          <w:szCs w:val="24"/>
        </w:rPr>
        <w:t>the</w:t>
      </w:r>
      <w:r w:rsidRPr="00760B33">
        <w:rPr>
          <w:rFonts w:eastAsia="Times New Roman"/>
          <w:sz w:val="24"/>
          <w:szCs w:val="24"/>
          <w:lang w:val="en-001"/>
        </w:rPr>
        <w:t xml:space="preserve"> DCI-based skipping feature on a per-measurement gap configuration basis.</w:t>
      </w:r>
    </w:p>
    <w:p w14:paraId="4D409394" w14:textId="588E0B58" w:rsidR="00760B33" w:rsidRPr="00760B33" w:rsidRDefault="00760B33" w:rsidP="00760B33">
      <w:pPr>
        <w:spacing w:before="100" w:beforeAutospacing="1" w:after="100" w:afterAutospacing="1"/>
        <w:rPr>
          <w:rFonts w:eastAsia="Times New Roman"/>
          <w:sz w:val="24"/>
          <w:szCs w:val="24"/>
          <w:lang w:val="en-001"/>
        </w:rPr>
      </w:pPr>
      <w:r w:rsidRPr="00760B33">
        <w:rPr>
          <w:rFonts w:eastAsia="Times New Roman"/>
          <w:sz w:val="24"/>
          <w:szCs w:val="24"/>
          <w:lang w:val="en-001"/>
        </w:rPr>
        <w:t xml:space="preserve">Not all configured measurement gaps necessarily hold the same operational priority or criticality for the UE RRM procedures at all times or on all carriers. For </w:t>
      </w:r>
      <w:r w:rsidR="0019467B" w:rsidRPr="00CC5111">
        <w:rPr>
          <w:rFonts w:eastAsia="Times New Roman"/>
          <w:sz w:val="24"/>
          <w:szCs w:val="24"/>
        </w:rPr>
        <w:t>example</w:t>
      </w:r>
      <w:r w:rsidRPr="00760B33">
        <w:rPr>
          <w:rFonts w:eastAsia="Times New Roman"/>
          <w:sz w:val="24"/>
          <w:szCs w:val="24"/>
          <w:lang w:val="en-001"/>
        </w:rPr>
        <w:t>, the network might deem inter-frequency measurements on a particular carrier as less critical and thus eligible for frequent skipping to prioritize XR traffic, while intra-frequency measurements on another carrier</w:t>
      </w:r>
      <w:r w:rsidR="0019467B" w:rsidRPr="00CC5111">
        <w:rPr>
          <w:rFonts w:eastAsia="Times New Roman"/>
          <w:sz w:val="24"/>
          <w:szCs w:val="24"/>
        </w:rPr>
        <w:t xml:space="preserve"> </w:t>
      </w:r>
      <w:r w:rsidRPr="00760B33">
        <w:rPr>
          <w:rFonts w:eastAsia="Times New Roman"/>
          <w:sz w:val="24"/>
          <w:szCs w:val="24"/>
          <w:lang w:val="en-001"/>
        </w:rPr>
        <w:t>might be considered higher priority and less suitable for skipping.</w:t>
      </w:r>
    </w:p>
    <w:p w14:paraId="416A6264" w14:textId="244C4B32" w:rsidR="0019467B" w:rsidRPr="00CC5111" w:rsidRDefault="00760B33" w:rsidP="0019467B">
      <w:pPr>
        <w:spacing w:before="100" w:beforeAutospacing="1" w:after="100" w:afterAutospacing="1"/>
        <w:rPr>
          <w:rFonts w:eastAsia="Times New Roman"/>
          <w:sz w:val="24"/>
          <w:szCs w:val="24"/>
          <w:lang w:val="en-001"/>
        </w:rPr>
      </w:pPr>
      <w:r w:rsidRPr="00760B33">
        <w:rPr>
          <w:rFonts w:eastAsia="Times New Roman"/>
          <w:sz w:val="24"/>
          <w:szCs w:val="24"/>
          <w:lang w:val="en-001"/>
        </w:rPr>
        <w:t xml:space="preserve">Therefore, providing the network with the ability to selectively enable the DCI-based skipping functionality for specific measurement gap configurations would offer more </w:t>
      </w:r>
      <w:r w:rsidR="0019467B" w:rsidRPr="00CC5111">
        <w:rPr>
          <w:rFonts w:eastAsia="Times New Roman"/>
          <w:sz w:val="24"/>
          <w:szCs w:val="24"/>
        </w:rPr>
        <w:t>flexible</w:t>
      </w:r>
      <w:r w:rsidRPr="00760B33">
        <w:rPr>
          <w:rFonts w:eastAsia="Times New Roman"/>
          <w:sz w:val="24"/>
          <w:szCs w:val="24"/>
          <w:lang w:val="en-001"/>
        </w:rPr>
        <w:t xml:space="preserve"> control. </w:t>
      </w:r>
    </w:p>
    <w:p w14:paraId="4F3EF0FC" w14:textId="77777777" w:rsidR="0019467B" w:rsidRPr="00CC5111" w:rsidRDefault="0019467B" w:rsidP="0019467B">
      <w:pPr>
        <w:spacing w:after="120"/>
        <w:jc w:val="both"/>
        <w:textAlignment w:val="center"/>
        <w:rPr>
          <w:strike/>
          <w:sz w:val="24"/>
          <w:szCs w:val="24"/>
        </w:rPr>
      </w:pPr>
      <w:r w:rsidRPr="00CC5111">
        <w:rPr>
          <w:rFonts w:eastAsia="Times New Roman"/>
          <w:sz w:val="24"/>
          <w:szCs w:val="24"/>
        </w:rPr>
        <w:t xml:space="preserve"> </w:t>
      </w:r>
    </w:p>
    <w:p w14:paraId="3CAFC31F" w14:textId="3FDB445B" w:rsidR="0019467B" w:rsidRPr="00CC5111" w:rsidRDefault="0019467B" w:rsidP="0019467B">
      <w:pPr>
        <w:pStyle w:val="ListParagraph"/>
        <w:numPr>
          <w:ilvl w:val="0"/>
          <w:numId w:val="60"/>
        </w:numPr>
        <w:spacing w:after="120"/>
        <w:jc w:val="both"/>
        <w:textAlignment w:val="center"/>
        <w:rPr>
          <w:rFonts w:ascii="Times New Roman" w:eastAsiaTheme="minorEastAsia" w:hAnsi="Times New Roman" w:cs="Times New Roman"/>
          <w:b/>
          <w:bCs/>
          <w:i/>
          <w:iCs/>
          <w:noProof/>
          <w:lang w:val="en-GB" w:eastAsia="zh-CN"/>
        </w:rPr>
      </w:pPr>
      <w:r w:rsidRPr="00CC5111">
        <w:rPr>
          <w:rFonts w:ascii="Times New Roman" w:eastAsiaTheme="minorEastAsia" w:hAnsi="Times New Roman" w:cs="Times New Roman"/>
          <w:b/>
          <w:bCs/>
          <w:i/>
          <w:iCs/>
          <w:noProof/>
          <w:lang w:val="en-GB" w:eastAsia="zh-CN"/>
        </w:rPr>
        <w:t xml:space="preserve"> </w:t>
      </w:r>
      <w:r w:rsidRPr="00760B33">
        <w:rPr>
          <w:rFonts w:ascii="Times New Roman" w:eastAsiaTheme="minorEastAsia" w:hAnsi="Times New Roman" w:cs="Times New Roman"/>
          <w:b/>
          <w:bCs/>
          <w:i/>
          <w:iCs/>
          <w:noProof/>
          <w:lang w:val="en-GB" w:eastAsia="zh-CN"/>
        </w:rPr>
        <w:t xml:space="preserve"> In addition to the per-DCI-format</w:t>
      </w:r>
      <w:r w:rsidRPr="00CC5111">
        <w:rPr>
          <w:rFonts w:ascii="Times New Roman" w:eastAsiaTheme="minorEastAsia" w:hAnsi="Times New Roman" w:cs="Times New Roman"/>
          <w:b/>
          <w:bCs/>
          <w:i/>
          <w:iCs/>
          <w:noProof/>
          <w:lang w:val="en-GB" w:eastAsia="zh-CN"/>
        </w:rPr>
        <w:t>, support an RRC parameter within each measurement gap configuration (e.g., GapConfig) to enable/disable the applicability of DCI-based skipping for measurement occasions corresponding to that specific gap configuration.</w:t>
      </w:r>
    </w:p>
    <w:p w14:paraId="195698C7" w14:textId="77777777" w:rsidR="00760B33" w:rsidRPr="00CC5111" w:rsidRDefault="00760B33" w:rsidP="009407B7">
      <w:pPr>
        <w:spacing w:after="120"/>
        <w:jc w:val="both"/>
        <w:textAlignment w:val="center"/>
        <w:rPr>
          <w:sz w:val="24"/>
          <w:szCs w:val="24"/>
        </w:rPr>
      </w:pPr>
    </w:p>
    <w:p w14:paraId="6EB635BF" w14:textId="77777777" w:rsidR="00C151AE" w:rsidRPr="00CC5111" w:rsidRDefault="00C151AE" w:rsidP="00C151AE">
      <w:pPr>
        <w:spacing w:after="120"/>
        <w:jc w:val="both"/>
        <w:textAlignment w:val="center"/>
        <w:rPr>
          <w:b/>
          <w:bCs/>
          <w:sz w:val="24"/>
          <w:szCs w:val="24"/>
          <w:u w:val="single"/>
        </w:rPr>
      </w:pPr>
    </w:p>
    <w:p w14:paraId="5F38D726" w14:textId="4F3EE6CC" w:rsidR="00C151AE" w:rsidRDefault="00C151AE" w:rsidP="00C151AE">
      <w:pPr>
        <w:spacing w:after="120"/>
        <w:jc w:val="both"/>
        <w:textAlignment w:val="center"/>
        <w:rPr>
          <w:b/>
          <w:bCs/>
          <w:sz w:val="24"/>
          <w:szCs w:val="24"/>
          <w:u w:val="single"/>
        </w:rPr>
      </w:pPr>
      <w:r>
        <w:rPr>
          <w:b/>
          <w:bCs/>
          <w:sz w:val="24"/>
          <w:szCs w:val="24"/>
          <w:u w:val="single"/>
        </w:rPr>
        <w:t>Collision between measurement gaps</w:t>
      </w:r>
    </w:p>
    <w:p w14:paraId="2CFB7D1B" w14:textId="77777777" w:rsidR="00C151AE" w:rsidRDefault="00C151AE" w:rsidP="00C151AE">
      <w:pPr>
        <w:spacing w:after="120"/>
        <w:jc w:val="both"/>
        <w:textAlignment w:val="center"/>
        <w:rPr>
          <w:b/>
          <w:bCs/>
          <w:sz w:val="24"/>
          <w:szCs w:val="24"/>
          <w:u w:val="single"/>
        </w:rPr>
      </w:pPr>
    </w:p>
    <w:p w14:paraId="16139D41" w14:textId="39BB078A" w:rsidR="00C151AE" w:rsidRPr="00C151AE" w:rsidRDefault="00C151AE" w:rsidP="00C151AE">
      <w:pPr>
        <w:spacing w:after="120"/>
        <w:jc w:val="both"/>
        <w:textAlignment w:val="center"/>
        <w:rPr>
          <w:rFonts w:eastAsia="Times New Roman"/>
          <w:sz w:val="24"/>
          <w:szCs w:val="24"/>
          <w:lang w:val="en-001"/>
        </w:rPr>
      </w:pPr>
      <w:r w:rsidRPr="00C151AE">
        <w:rPr>
          <w:rFonts w:eastAsia="Times New Roman"/>
          <w:sz w:val="24"/>
          <w:szCs w:val="24"/>
          <w:lang w:val="en-001"/>
        </w:rPr>
        <w:t xml:space="preserve">When </w:t>
      </w:r>
      <w:r w:rsidRPr="00C151AE">
        <w:rPr>
          <w:rFonts w:eastAsia="Times New Roman"/>
          <w:sz w:val="24"/>
          <w:szCs w:val="24"/>
        </w:rPr>
        <w:t xml:space="preserve">the specified </w:t>
      </w:r>
      <w:r w:rsidRPr="00C151AE">
        <w:rPr>
          <w:rFonts w:eastAsia="Times New Roman"/>
          <w:sz w:val="24"/>
          <w:szCs w:val="24"/>
          <w:lang w:val="en-001"/>
        </w:rPr>
        <w:t xml:space="preserve">dynamic DCI-based signalling is used to cancel a specific measurement gap occasion, it is essential to clarify the interaction with RAN4's established gap collision resolution. To maintain consistency with RAN4's defined UE behaviour and the purpose of DCI cancellation (to enable Tx/Rx during the applied gap time), the RAN4 defined prioritization and dropping rules for overlapping measurement gaps shall be applied first. Following this, the DCI-based cancellation indication applies only to the specific measurement gap occasion that remains active </w:t>
      </w:r>
      <w:r w:rsidRPr="00C151AE">
        <w:rPr>
          <w:rFonts w:eastAsia="Times New Roman"/>
          <w:sz w:val="24"/>
          <w:szCs w:val="24"/>
          <w:lang w:val="en-001"/>
        </w:rPr>
        <w:lastRenderedPageBreak/>
        <w:t>after the RAN4 dropping process. This approach ensures that a measurement gap occasion already dropped by RAN4 rules due to a collision is not subject to DCI cancellation, and respects the UE behaviour determined by RAN4. Based on this rationale, it is proposed that if concurrent measurement gaps supported for measurement gap occasion cancellation are configured, the DCI-based measurement gap occasion cancellation is applied to the remaining measurement gap occasion after RAN4 defined UE behaviour for measurement gap dropping</w:t>
      </w:r>
    </w:p>
    <w:p w14:paraId="3F68860E" w14:textId="7EC7711B" w:rsidR="009407B7" w:rsidRDefault="009407B7" w:rsidP="00B77882">
      <w:pPr>
        <w:spacing w:after="120"/>
        <w:jc w:val="both"/>
        <w:textAlignment w:val="center"/>
        <w:rPr>
          <w:sz w:val="24"/>
          <w:szCs w:val="24"/>
        </w:rPr>
      </w:pPr>
    </w:p>
    <w:p w14:paraId="2095F403" w14:textId="77777777" w:rsidR="00C151AE" w:rsidRPr="00CC5111" w:rsidRDefault="00C151AE" w:rsidP="00C151AE">
      <w:pPr>
        <w:spacing w:after="120"/>
        <w:jc w:val="both"/>
        <w:textAlignment w:val="center"/>
        <w:rPr>
          <w:strike/>
          <w:sz w:val="24"/>
          <w:szCs w:val="24"/>
        </w:rPr>
      </w:pPr>
    </w:p>
    <w:p w14:paraId="54F3579D" w14:textId="2A06EFB6" w:rsidR="00C151AE" w:rsidRPr="00C151AE" w:rsidRDefault="00C151AE" w:rsidP="00C151AE">
      <w:pPr>
        <w:pStyle w:val="ListParagraph"/>
        <w:numPr>
          <w:ilvl w:val="0"/>
          <w:numId w:val="60"/>
        </w:numPr>
        <w:spacing w:after="120"/>
        <w:jc w:val="both"/>
        <w:textAlignment w:val="cente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If multiple</w:t>
      </w:r>
      <w:r w:rsidR="00C355A5">
        <w:rPr>
          <w:rFonts w:ascii="Times New Roman" w:eastAsiaTheme="minorEastAsia" w:hAnsi="Times New Roman" w:cs="Times New Roman"/>
          <w:b/>
          <w:bCs/>
          <w:i/>
          <w:iCs/>
          <w:noProof/>
          <w:lang w:val="en-GB" w:eastAsia="zh-CN"/>
        </w:rPr>
        <w:t xml:space="preserve"> concurrent</w:t>
      </w:r>
      <w:r>
        <w:rPr>
          <w:rFonts w:ascii="Times New Roman" w:eastAsiaTheme="minorEastAsia" w:hAnsi="Times New Roman" w:cs="Times New Roman"/>
          <w:b/>
          <w:bCs/>
          <w:i/>
          <w:iCs/>
          <w:noProof/>
          <w:lang w:val="en-GB" w:eastAsia="zh-CN"/>
        </w:rPr>
        <w:t xml:space="preserve"> measurement gaps, </w:t>
      </w:r>
      <w:r w:rsidRPr="00C151AE">
        <w:rPr>
          <w:rFonts w:ascii="Times New Roman" w:eastAsiaTheme="minorEastAsia" w:hAnsi="Times New Roman" w:cs="Times New Roman"/>
          <w:b/>
          <w:bCs/>
          <w:i/>
          <w:iCs/>
          <w:noProof/>
          <w:lang w:val="en-GB" w:eastAsia="zh-CN"/>
        </w:rPr>
        <w:t>the DCI-based measurement gap occasion cancellation is applied to the remaining measurement gap occasion after RAN4 defined UE behaviour for measurement gap dropping</w:t>
      </w:r>
    </w:p>
    <w:p w14:paraId="5EA7584C" w14:textId="77777777" w:rsidR="00C151AE" w:rsidRPr="00CC5111" w:rsidRDefault="00C151AE" w:rsidP="00C151AE">
      <w:pPr>
        <w:pStyle w:val="ListParagraph"/>
        <w:spacing w:after="120"/>
        <w:ind w:left="360"/>
        <w:jc w:val="both"/>
        <w:textAlignment w:val="center"/>
        <w:rPr>
          <w:rFonts w:ascii="Times New Roman" w:eastAsiaTheme="minorEastAsia" w:hAnsi="Times New Roman" w:cs="Times New Roman"/>
          <w:b/>
          <w:bCs/>
          <w:i/>
          <w:iCs/>
          <w:noProof/>
          <w:lang w:val="en-GB" w:eastAsia="zh-CN"/>
        </w:rPr>
      </w:pPr>
    </w:p>
    <w:p w14:paraId="505D265F" w14:textId="77777777" w:rsidR="00C151AE" w:rsidRPr="00CC5111" w:rsidRDefault="00C151AE" w:rsidP="00B77882">
      <w:pPr>
        <w:spacing w:after="120"/>
        <w:jc w:val="both"/>
        <w:textAlignment w:val="center"/>
        <w:rPr>
          <w:sz w:val="24"/>
          <w:szCs w:val="24"/>
        </w:rPr>
      </w:pPr>
    </w:p>
    <w:p w14:paraId="2B9D3C81" w14:textId="77777777" w:rsidR="00EE036A" w:rsidRPr="00CC5111" w:rsidRDefault="00EE036A" w:rsidP="00EE036A">
      <w:pPr>
        <w:pStyle w:val="Heading1"/>
        <w:jc w:val="both"/>
        <w:rPr>
          <w:lang w:val="en-US"/>
        </w:rPr>
      </w:pPr>
      <w:r w:rsidRPr="00CC5111">
        <w:rPr>
          <w:lang w:val="en-US" w:eastAsia="zh-TW"/>
        </w:rPr>
        <w:t>Conclusion</w:t>
      </w:r>
    </w:p>
    <w:p w14:paraId="5402161D" w14:textId="4DE98E6D" w:rsidR="000F66A9" w:rsidRPr="00CC5111" w:rsidRDefault="00EE036A" w:rsidP="00EE036A">
      <w:pPr>
        <w:spacing w:after="120"/>
        <w:jc w:val="both"/>
        <w:textAlignment w:val="center"/>
        <w:rPr>
          <w:sz w:val="24"/>
          <w:szCs w:val="24"/>
        </w:rPr>
      </w:pPr>
      <w:r w:rsidRPr="00CC5111">
        <w:rPr>
          <w:sz w:val="24"/>
          <w:szCs w:val="24"/>
        </w:rPr>
        <w:t xml:space="preserve">In this contribution, we have presented several </w:t>
      </w:r>
      <w:r w:rsidR="0011072C" w:rsidRPr="00CC5111">
        <w:rPr>
          <w:sz w:val="24"/>
          <w:szCs w:val="24"/>
        </w:rPr>
        <w:t xml:space="preserve">proposals to specify the support </w:t>
      </w:r>
      <w:r w:rsidR="000F66A9" w:rsidRPr="00CC5111">
        <w:rPr>
          <w:sz w:val="24"/>
          <w:szCs w:val="24"/>
        </w:rPr>
        <w:t>of skipping measurement gaps.</w:t>
      </w:r>
    </w:p>
    <w:p w14:paraId="5E777F52" w14:textId="6EC14937" w:rsidR="000F66A9" w:rsidRPr="00CC5111" w:rsidRDefault="00EE036A" w:rsidP="00F96705">
      <w:pPr>
        <w:spacing w:after="120"/>
        <w:jc w:val="both"/>
        <w:textAlignment w:val="center"/>
        <w:rPr>
          <w:sz w:val="24"/>
          <w:szCs w:val="24"/>
        </w:rPr>
      </w:pPr>
      <w:r w:rsidRPr="00CC5111">
        <w:rPr>
          <w:sz w:val="24"/>
          <w:szCs w:val="24"/>
        </w:rPr>
        <w:t xml:space="preserve">We made the following proposals: </w:t>
      </w:r>
    </w:p>
    <w:p w14:paraId="6C83621F" w14:textId="77777777" w:rsidR="00DC0EB4" w:rsidRPr="00CC5111" w:rsidRDefault="00DC0EB4" w:rsidP="00DC0EB4">
      <w:pPr>
        <w:spacing w:after="120"/>
        <w:jc w:val="both"/>
        <w:textAlignment w:val="center"/>
        <w:rPr>
          <w:strike/>
          <w:sz w:val="24"/>
          <w:szCs w:val="24"/>
        </w:rPr>
      </w:pPr>
    </w:p>
    <w:p w14:paraId="01806CF1" w14:textId="77777777" w:rsidR="00AC21D8" w:rsidRPr="00CC5111" w:rsidRDefault="00AC21D8" w:rsidP="00AC21D8">
      <w:pPr>
        <w:spacing w:after="120"/>
        <w:jc w:val="both"/>
        <w:textAlignment w:val="center"/>
        <w:rPr>
          <w:strike/>
          <w:sz w:val="24"/>
          <w:szCs w:val="24"/>
        </w:rPr>
      </w:pPr>
    </w:p>
    <w:p w14:paraId="36E00815" w14:textId="77777777" w:rsidR="00AC21D8" w:rsidRPr="00CC5111" w:rsidRDefault="00AC21D8" w:rsidP="00AC21D8">
      <w:pPr>
        <w:pStyle w:val="ListParagraph"/>
        <w:numPr>
          <w:ilvl w:val="0"/>
          <w:numId w:val="76"/>
        </w:numPr>
        <w:spacing w:after="120"/>
        <w:jc w:val="both"/>
        <w:textAlignment w:val="center"/>
        <w:rPr>
          <w:rFonts w:ascii="Times New Roman" w:eastAsiaTheme="minorEastAsia" w:hAnsi="Times New Roman" w:cs="Times New Roman"/>
          <w:b/>
          <w:bCs/>
          <w:i/>
          <w:iCs/>
          <w:noProof/>
          <w:lang w:val="en-GB" w:eastAsia="zh-CN"/>
        </w:rPr>
      </w:pPr>
      <w:r w:rsidRPr="00CC5111">
        <w:rPr>
          <w:rFonts w:ascii="Times New Roman" w:eastAsiaTheme="minorEastAsia" w:hAnsi="Times New Roman" w:cs="Times New Roman"/>
          <w:b/>
          <w:bCs/>
          <w:i/>
          <w:iCs/>
          <w:noProof/>
          <w:lang w:val="en-GB" w:eastAsia="zh-CN"/>
        </w:rPr>
        <w:t>The UE doesn’t not expect inconsistent skipping indications in the same PDCCH or with multiple overlapping PDCCHs</w:t>
      </w:r>
    </w:p>
    <w:p w14:paraId="117A8555" w14:textId="77777777" w:rsidR="00AC21D8" w:rsidRPr="00CC5111" w:rsidRDefault="00AC21D8" w:rsidP="00AC21D8">
      <w:pPr>
        <w:spacing w:after="120"/>
        <w:jc w:val="both"/>
        <w:textAlignment w:val="center"/>
        <w:rPr>
          <w:strike/>
          <w:sz w:val="24"/>
          <w:szCs w:val="24"/>
        </w:rPr>
      </w:pPr>
    </w:p>
    <w:p w14:paraId="2459D7AF" w14:textId="77777777" w:rsidR="00AC21D8" w:rsidRPr="00CC5111" w:rsidRDefault="00AC21D8" w:rsidP="00AC21D8">
      <w:pPr>
        <w:pStyle w:val="ListParagraph"/>
        <w:numPr>
          <w:ilvl w:val="0"/>
          <w:numId w:val="76"/>
        </w:numPr>
        <w:spacing w:after="120"/>
        <w:jc w:val="both"/>
        <w:textAlignment w:val="center"/>
        <w:rPr>
          <w:rFonts w:ascii="Times New Roman" w:eastAsiaTheme="minorEastAsia" w:hAnsi="Times New Roman" w:cs="Times New Roman"/>
          <w:b/>
          <w:bCs/>
          <w:i/>
          <w:iCs/>
          <w:noProof/>
          <w:lang w:val="en-GB" w:eastAsia="zh-CN"/>
        </w:rPr>
      </w:pPr>
      <w:r w:rsidRPr="00CC5111">
        <w:rPr>
          <w:rFonts w:ascii="Times New Roman" w:eastAsiaTheme="minorEastAsia" w:hAnsi="Times New Roman" w:cs="Times New Roman"/>
          <w:b/>
          <w:bCs/>
          <w:i/>
          <w:iCs/>
          <w:noProof/>
          <w:lang w:val="en-GB" w:eastAsia="zh-CN"/>
        </w:rPr>
        <w:t xml:space="preserve"> </w:t>
      </w:r>
      <w:r w:rsidRPr="00760B33">
        <w:rPr>
          <w:rFonts w:ascii="Times New Roman" w:eastAsiaTheme="minorEastAsia" w:hAnsi="Times New Roman" w:cs="Times New Roman"/>
          <w:b/>
          <w:bCs/>
          <w:i/>
          <w:iCs/>
          <w:noProof/>
          <w:lang w:val="en-GB" w:eastAsia="zh-CN"/>
        </w:rPr>
        <w:t xml:space="preserve"> In addition to the per-DCI-format</w:t>
      </w:r>
      <w:r w:rsidRPr="00CC5111">
        <w:rPr>
          <w:rFonts w:ascii="Times New Roman" w:eastAsiaTheme="minorEastAsia" w:hAnsi="Times New Roman" w:cs="Times New Roman"/>
          <w:b/>
          <w:bCs/>
          <w:i/>
          <w:iCs/>
          <w:noProof/>
          <w:lang w:val="en-GB" w:eastAsia="zh-CN"/>
        </w:rPr>
        <w:t>, support an RRC parameter within each measurement gap configuration (e.g., GapConfig) to enable/disable the applicability of DCI-based skipping for measurement occasions corresponding to that specific gap configuration.</w:t>
      </w:r>
    </w:p>
    <w:p w14:paraId="235B35B7" w14:textId="77777777" w:rsidR="00F869C6" w:rsidRPr="00CC5111" w:rsidRDefault="00F869C6" w:rsidP="00F869C6">
      <w:pPr>
        <w:spacing w:after="120"/>
        <w:jc w:val="both"/>
        <w:textAlignment w:val="center"/>
        <w:rPr>
          <w:strike/>
          <w:sz w:val="24"/>
          <w:szCs w:val="24"/>
        </w:rPr>
      </w:pPr>
    </w:p>
    <w:p w14:paraId="7D2866F2" w14:textId="77777777" w:rsidR="00F869C6" w:rsidRPr="00C151AE" w:rsidRDefault="00F869C6" w:rsidP="00F869C6">
      <w:pPr>
        <w:pStyle w:val="ListParagraph"/>
        <w:numPr>
          <w:ilvl w:val="0"/>
          <w:numId w:val="76"/>
        </w:numPr>
        <w:spacing w:after="120"/>
        <w:jc w:val="both"/>
        <w:textAlignment w:val="cente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If multiple measurement gaps are overlapping, </w:t>
      </w:r>
      <w:r w:rsidRPr="00C151AE">
        <w:rPr>
          <w:rFonts w:ascii="Times New Roman" w:eastAsiaTheme="minorEastAsia" w:hAnsi="Times New Roman" w:cs="Times New Roman"/>
          <w:b/>
          <w:bCs/>
          <w:i/>
          <w:iCs/>
          <w:noProof/>
          <w:lang w:val="en-GB" w:eastAsia="zh-CN"/>
        </w:rPr>
        <w:t>the DCI-based measurement gap occasion cancellation is applied to the remaining measurement gap occasion after RAN4 defined UE behaviour for measurement gap dropping</w:t>
      </w:r>
    </w:p>
    <w:p w14:paraId="25B42B31" w14:textId="77777777" w:rsidR="00AC21D8" w:rsidRPr="00CC5111" w:rsidRDefault="00AC21D8" w:rsidP="00AC21D8">
      <w:pPr>
        <w:spacing w:after="120"/>
        <w:jc w:val="both"/>
        <w:textAlignment w:val="center"/>
        <w:rPr>
          <w:sz w:val="24"/>
          <w:szCs w:val="24"/>
        </w:rPr>
      </w:pPr>
    </w:p>
    <w:p w14:paraId="57176690" w14:textId="77777777" w:rsidR="000E405C" w:rsidRDefault="000E405C" w:rsidP="000E405C">
      <w:pPr>
        <w:jc w:val="both"/>
        <w:rPr>
          <w:sz w:val="24"/>
          <w:szCs w:val="24"/>
          <w:lang w:eastAsia="zh-TW"/>
        </w:rPr>
      </w:pPr>
    </w:p>
    <w:p w14:paraId="4A417D10" w14:textId="77777777" w:rsidR="00F869C6" w:rsidRPr="00CC5111" w:rsidRDefault="00F869C6" w:rsidP="000E405C">
      <w:pPr>
        <w:jc w:val="both"/>
        <w:rPr>
          <w:sz w:val="24"/>
          <w:szCs w:val="24"/>
          <w:lang w:eastAsia="zh-TW"/>
        </w:rPr>
      </w:pPr>
    </w:p>
    <w:p w14:paraId="40F687A2" w14:textId="77777777" w:rsidR="00EE036A" w:rsidRPr="00CC5111" w:rsidRDefault="00EE036A" w:rsidP="00EE036A">
      <w:pPr>
        <w:pStyle w:val="Heading1"/>
        <w:jc w:val="both"/>
        <w:rPr>
          <w:lang w:val="en-US"/>
        </w:rPr>
      </w:pPr>
      <w:r w:rsidRPr="00CC5111">
        <w:rPr>
          <w:rFonts w:hint="eastAsia"/>
          <w:lang w:val="en-US" w:eastAsia="zh-TW"/>
        </w:rPr>
        <w:lastRenderedPageBreak/>
        <w:t>References</w:t>
      </w:r>
    </w:p>
    <w:p w14:paraId="4D99431D" w14:textId="0BB09BE3" w:rsidR="00696E2F" w:rsidRPr="00CC5111" w:rsidRDefault="00696E2F" w:rsidP="00EE036A">
      <w:pPr>
        <w:pStyle w:val="References"/>
        <w:numPr>
          <w:ilvl w:val="0"/>
          <w:numId w:val="3"/>
        </w:numPr>
        <w:autoSpaceDE w:val="0"/>
        <w:autoSpaceDN w:val="0"/>
        <w:snapToGrid w:val="0"/>
        <w:spacing w:after="60"/>
        <w:jc w:val="both"/>
        <w:rPr>
          <w:sz w:val="24"/>
        </w:rPr>
      </w:pPr>
      <w:bookmarkStart w:id="2" w:name="_Ref158202246"/>
      <w:r w:rsidRPr="00CC5111">
        <w:rPr>
          <w:sz w:val="24"/>
        </w:rPr>
        <w:t>TS 38.13</w:t>
      </w:r>
      <w:r w:rsidRPr="00CC5111">
        <w:rPr>
          <w:rFonts w:hint="eastAsia"/>
          <w:sz w:val="24"/>
        </w:rPr>
        <w:t>3</w:t>
      </w:r>
      <w:r w:rsidRPr="00CC5111">
        <w:rPr>
          <w:sz w:val="24"/>
        </w:rPr>
        <w:t xml:space="preserve"> V17.11.0</w:t>
      </w:r>
      <w:bookmarkEnd w:id="2"/>
    </w:p>
    <w:p w14:paraId="5E7E131C" w14:textId="6ADF7C6C" w:rsidR="00331E7B" w:rsidRPr="00CC5111" w:rsidRDefault="00D0331B" w:rsidP="00AB4BC8">
      <w:pPr>
        <w:pStyle w:val="References"/>
        <w:numPr>
          <w:ilvl w:val="0"/>
          <w:numId w:val="3"/>
        </w:numPr>
        <w:autoSpaceDE w:val="0"/>
        <w:autoSpaceDN w:val="0"/>
        <w:snapToGrid w:val="0"/>
        <w:spacing w:after="60"/>
        <w:jc w:val="both"/>
        <w:rPr>
          <w:sz w:val="24"/>
        </w:rPr>
      </w:pPr>
      <w:bookmarkStart w:id="3" w:name="_Ref158389478"/>
      <w:r w:rsidRPr="00CC5111">
        <w:rPr>
          <w:sz w:val="24"/>
        </w:rPr>
        <w:t>RP-234014 ‘New WID: XR (eXtended Reality) for NR Phase 3’, MediaTek (Moderator), RAN#102, Edinburgh, Scotland, December 11-15, 2023</w:t>
      </w:r>
      <w:bookmarkEnd w:id="3"/>
    </w:p>
    <w:p w14:paraId="1DA98F06" w14:textId="4E61C9CE" w:rsidR="00331E7B" w:rsidRPr="00CC5111" w:rsidRDefault="00331E7B" w:rsidP="006363B9">
      <w:pPr>
        <w:pStyle w:val="Caption"/>
        <w:jc w:val="center"/>
        <w:rPr>
          <w:rFonts w:eastAsia="Times New Roman"/>
          <w:i w:val="0"/>
          <w:iCs w:val="0"/>
          <w:color w:val="auto"/>
          <w:sz w:val="24"/>
          <w:szCs w:val="24"/>
          <w:lang w:val="en-US" w:eastAsia="zh-CN"/>
        </w:rPr>
      </w:pPr>
    </w:p>
    <w:sectPr w:rsidR="00331E7B" w:rsidRPr="00CC51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Ericsson Hilda">
    <w:altName w:val="Calibri"/>
    <w:panose1 w:val="020B0604020202020204"/>
    <w:charset w:val="00"/>
    <w:family w:val="auto"/>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6BC79EC"/>
    <w:multiLevelType w:val="multilevel"/>
    <w:tmpl w:val="6B64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 w15:restartNumberingAfterBreak="0">
    <w:nsid w:val="0E917AB4"/>
    <w:multiLevelType w:val="hybridMultilevel"/>
    <w:tmpl w:val="B3D69A78"/>
    <w:lvl w:ilvl="0" w:tplc="FFFFFFFF">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0"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2"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26D32FF9"/>
    <w:multiLevelType w:val="multilevel"/>
    <w:tmpl w:val="4E965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9" w15:restartNumberingAfterBreak="0">
    <w:nsid w:val="30B36E5C"/>
    <w:multiLevelType w:val="hybridMultilevel"/>
    <w:tmpl w:val="E2B8675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0"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3"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4"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0"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1" w15:restartNumberingAfterBreak="0">
    <w:nsid w:val="41CC6667"/>
    <w:multiLevelType w:val="hybridMultilevel"/>
    <w:tmpl w:val="FBE2C1F8"/>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2" w15:restartNumberingAfterBreak="0">
    <w:nsid w:val="42502CEF"/>
    <w:multiLevelType w:val="multilevel"/>
    <w:tmpl w:val="10A4B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8D2016"/>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5"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88E19BD"/>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9"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1"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2"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3"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7B433E6"/>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7"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2"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7B77592A"/>
    <w:multiLevelType w:val="hybridMultilevel"/>
    <w:tmpl w:val="C12EA2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7BFA662D"/>
    <w:multiLevelType w:val="hybridMultilevel"/>
    <w:tmpl w:val="7A14EF6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0"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5"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275158">
    <w:abstractNumId w:val="16"/>
  </w:num>
  <w:num w:numId="2" w16cid:durableId="2100910162">
    <w:abstractNumId w:val="1"/>
  </w:num>
  <w:num w:numId="3" w16cid:durableId="329724433">
    <w:abstractNumId w:val="29"/>
  </w:num>
  <w:num w:numId="4" w16cid:durableId="502550087">
    <w:abstractNumId w:val="55"/>
  </w:num>
  <w:num w:numId="5" w16cid:durableId="1939870257">
    <w:abstractNumId w:val="9"/>
  </w:num>
  <w:num w:numId="6" w16cid:durableId="1579515392">
    <w:abstractNumId w:val="53"/>
  </w:num>
  <w:num w:numId="7" w16cid:durableId="294604523">
    <w:abstractNumId w:val="24"/>
  </w:num>
  <w:num w:numId="8" w16cid:durableId="1812138722">
    <w:abstractNumId w:val="20"/>
  </w:num>
  <w:num w:numId="9" w16cid:durableId="556744752">
    <w:abstractNumId w:val="49"/>
  </w:num>
  <w:num w:numId="10" w16cid:durableId="1096099468">
    <w:abstractNumId w:val="43"/>
  </w:num>
  <w:num w:numId="11" w16cid:durableId="953370088">
    <w:abstractNumId w:val="12"/>
  </w:num>
  <w:num w:numId="12" w16cid:durableId="1572157965">
    <w:abstractNumId w:val="5"/>
  </w:num>
  <w:num w:numId="13" w16cid:durableId="421487754">
    <w:abstractNumId w:val="46"/>
  </w:num>
  <w:num w:numId="14" w16cid:durableId="1818716288">
    <w:abstractNumId w:val="38"/>
  </w:num>
  <w:num w:numId="15" w16cid:durableId="1565334203">
    <w:abstractNumId w:val="41"/>
  </w:num>
  <w:num w:numId="16" w16cid:durableId="830872576">
    <w:abstractNumId w:val="73"/>
  </w:num>
  <w:num w:numId="17" w16cid:durableId="706443122">
    <w:abstractNumId w:val="10"/>
  </w:num>
  <w:num w:numId="18" w16cid:durableId="2075927906">
    <w:abstractNumId w:val="47"/>
  </w:num>
  <w:num w:numId="19" w16cid:durableId="440996695">
    <w:abstractNumId w:val="58"/>
  </w:num>
  <w:num w:numId="20" w16cid:durableId="1254819265">
    <w:abstractNumId w:val="36"/>
  </w:num>
  <w:num w:numId="21" w16cid:durableId="2075859761">
    <w:abstractNumId w:val="39"/>
  </w:num>
  <w:num w:numId="22" w16cid:durableId="215820528">
    <w:abstractNumId w:val="26"/>
  </w:num>
  <w:num w:numId="23" w16cid:durableId="885918103">
    <w:abstractNumId w:val="6"/>
  </w:num>
  <w:num w:numId="24" w16cid:durableId="1583372826">
    <w:abstractNumId w:val="11"/>
  </w:num>
  <w:num w:numId="25" w16cid:durableId="39477220">
    <w:abstractNumId w:val="62"/>
  </w:num>
  <w:num w:numId="26" w16cid:durableId="1719668145">
    <w:abstractNumId w:val="59"/>
  </w:num>
  <w:num w:numId="27" w16cid:durableId="692457513">
    <w:abstractNumId w:val="40"/>
  </w:num>
  <w:num w:numId="28" w16cid:durableId="2142647401">
    <w:abstractNumId w:val="54"/>
  </w:num>
  <w:num w:numId="29" w16cid:durableId="1685597283">
    <w:abstractNumId w:val="34"/>
  </w:num>
  <w:num w:numId="30" w16cid:durableId="1043096829">
    <w:abstractNumId w:val="65"/>
  </w:num>
  <w:num w:numId="31" w16cid:durableId="498428937">
    <w:abstractNumId w:val="51"/>
  </w:num>
  <w:num w:numId="32" w16cid:durableId="1949966076">
    <w:abstractNumId w:val="45"/>
  </w:num>
  <w:num w:numId="33" w16cid:durableId="157380159">
    <w:abstractNumId w:val="22"/>
  </w:num>
  <w:num w:numId="34" w16cid:durableId="1396123687">
    <w:abstractNumId w:val="50"/>
  </w:num>
  <w:num w:numId="35" w16cid:durableId="1403986591">
    <w:abstractNumId w:val="71"/>
  </w:num>
  <w:num w:numId="36" w16cid:durableId="728842719">
    <w:abstractNumId w:val="23"/>
  </w:num>
  <w:num w:numId="37" w16cid:durableId="1652518254">
    <w:abstractNumId w:val="13"/>
  </w:num>
  <w:num w:numId="38" w16cid:durableId="1854803906">
    <w:abstractNumId w:val="30"/>
  </w:num>
  <w:num w:numId="39" w16cid:durableId="490870540">
    <w:abstractNumId w:val="18"/>
  </w:num>
  <w:num w:numId="40" w16cid:durableId="599989674">
    <w:abstractNumId w:val="7"/>
  </w:num>
  <w:num w:numId="41" w16cid:durableId="962686721">
    <w:abstractNumId w:val="42"/>
  </w:num>
  <w:num w:numId="42" w16cid:durableId="307511613">
    <w:abstractNumId w:val="70"/>
  </w:num>
  <w:num w:numId="43" w16cid:durableId="322123341">
    <w:abstractNumId w:val="25"/>
  </w:num>
  <w:num w:numId="44" w16cid:durableId="1890798390">
    <w:abstractNumId w:val="74"/>
  </w:num>
  <w:num w:numId="45" w16cid:durableId="2118131690">
    <w:abstractNumId w:val="67"/>
  </w:num>
  <w:num w:numId="46" w16cid:durableId="1345277809">
    <w:abstractNumId w:val="31"/>
  </w:num>
  <w:num w:numId="47" w16cid:durableId="773406897">
    <w:abstractNumId w:val="52"/>
  </w:num>
  <w:num w:numId="48" w16cid:durableId="595023420">
    <w:abstractNumId w:val="44"/>
  </w:num>
  <w:num w:numId="49" w16cid:durableId="2079598080">
    <w:abstractNumId w:val="57"/>
  </w:num>
  <w:num w:numId="50" w16cid:durableId="415906667">
    <w:abstractNumId w:val="28"/>
  </w:num>
  <w:num w:numId="51" w16cid:durableId="1214580962">
    <w:abstractNumId w:val="63"/>
  </w:num>
  <w:num w:numId="52" w16cid:durableId="1342390268">
    <w:abstractNumId w:val="61"/>
  </w:num>
  <w:num w:numId="53" w16cid:durableId="1815636564">
    <w:abstractNumId w:val="33"/>
  </w:num>
  <w:num w:numId="54" w16cid:durableId="1933313435">
    <w:abstractNumId w:val="4"/>
  </w:num>
  <w:num w:numId="55" w16cid:durableId="1215462902">
    <w:abstractNumId w:val="37"/>
  </w:num>
  <w:num w:numId="56" w16cid:durableId="1487478872">
    <w:abstractNumId w:val="3"/>
  </w:num>
  <w:num w:numId="57" w16cid:durableId="348719941">
    <w:abstractNumId w:val="68"/>
  </w:num>
  <w:num w:numId="58" w16cid:durableId="1064523604">
    <w:abstractNumId w:val="56"/>
  </w:num>
  <w:num w:numId="59" w16cid:durableId="1234201788">
    <w:abstractNumId w:val="72"/>
  </w:num>
  <w:num w:numId="60" w16cid:durableId="704524694">
    <w:abstractNumId w:val="48"/>
  </w:num>
  <w:num w:numId="61" w16cid:durableId="2904364">
    <w:abstractNumId w:val="27"/>
  </w:num>
  <w:num w:numId="62" w16cid:durableId="263461931">
    <w:abstractNumId w:val="8"/>
  </w:num>
  <w:num w:numId="63" w16cid:durableId="143204988">
    <w:abstractNumId w:val="69"/>
  </w:num>
  <w:num w:numId="64" w16cid:durableId="503280684">
    <w:abstractNumId w:val="0"/>
  </w:num>
  <w:num w:numId="65" w16cid:durableId="497615357">
    <w:abstractNumId w:val="15"/>
  </w:num>
  <w:num w:numId="66" w16cid:durableId="1246499387">
    <w:abstractNumId w:val="60"/>
  </w:num>
  <w:num w:numId="67" w16cid:durableId="564411129">
    <w:abstractNumId w:val="21"/>
  </w:num>
  <w:num w:numId="68" w16cid:durableId="176165016">
    <w:abstractNumId w:val="75"/>
  </w:num>
  <w:num w:numId="69" w16cid:durableId="1842356445">
    <w:abstractNumId w:val="14"/>
  </w:num>
  <w:num w:numId="70" w16cid:durableId="2110929061">
    <w:abstractNumId w:val="66"/>
  </w:num>
  <w:num w:numId="71" w16cid:durableId="252470475">
    <w:abstractNumId w:val="17"/>
  </w:num>
  <w:num w:numId="72" w16cid:durableId="642468041">
    <w:abstractNumId w:val="35"/>
  </w:num>
  <w:num w:numId="73" w16cid:durableId="197594145">
    <w:abstractNumId w:val="64"/>
  </w:num>
  <w:num w:numId="74" w16cid:durableId="730813563">
    <w:abstractNumId w:val="2"/>
  </w:num>
  <w:num w:numId="75" w16cid:durableId="362947139">
    <w:abstractNumId w:val="32"/>
  </w:num>
  <w:num w:numId="76" w16cid:durableId="364334809">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119D"/>
    <w:rsid w:val="000263D5"/>
    <w:rsid w:val="00026D24"/>
    <w:rsid w:val="000330BF"/>
    <w:rsid w:val="00034069"/>
    <w:rsid w:val="000354CC"/>
    <w:rsid w:val="00036529"/>
    <w:rsid w:val="00044B2C"/>
    <w:rsid w:val="00046B42"/>
    <w:rsid w:val="00052596"/>
    <w:rsid w:val="0005292A"/>
    <w:rsid w:val="000563D2"/>
    <w:rsid w:val="000620FC"/>
    <w:rsid w:val="000668B8"/>
    <w:rsid w:val="0006752F"/>
    <w:rsid w:val="00074C87"/>
    <w:rsid w:val="00075F9E"/>
    <w:rsid w:val="0008065C"/>
    <w:rsid w:val="0008168A"/>
    <w:rsid w:val="00082258"/>
    <w:rsid w:val="00092C0F"/>
    <w:rsid w:val="0009345D"/>
    <w:rsid w:val="00093BEC"/>
    <w:rsid w:val="00094D61"/>
    <w:rsid w:val="000A052A"/>
    <w:rsid w:val="000A11A9"/>
    <w:rsid w:val="000A14A7"/>
    <w:rsid w:val="000A7C50"/>
    <w:rsid w:val="000C0E39"/>
    <w:rsid w:val="000C1544"/>
    <w:rsid w:val="000C191B"/>
    <w:rsid w:val="000C68ED"/>
    <w:rsid w:val="000D04D9"/>
    <w:rsid w:val="000E0269"/>
    <w:rsid w:val="000E405C"/>
    <w:rsid w:val="000E5240"/>
    <w:rsid w:val="000F602A"/>
    <w:rsid w:val="000F66A9"/>
    <w:rsid w:val="0011072C"/>
    <w:rsid w:val="0013395C"/>
    <w:rsid w:val="00136085"/>
    <w:rsid w:val="00140F65"/>
    <w:rsid w:val="0014619C"/>
    <w:rsid w:val="00154337"/>
    <w:rsid w:val="00161BFC"/>
    <w:rsid w:val="00165976"/>
    <w:rsid w:val="00165EB4"/>
    <w:rsid w:val="00180900"/>
    <w:rsid w:val="001862B5"/>
    <w:rsid w:val="00190600"/>
    <w:rsid w:val="001921EC"/>
    <w:rsid w:val="0019467B"/>
    <w:rsid w:val="001A48D8"/>
    <w:rsid w:val="001A7652"/>
    <w:rsid w:val="001B328E"/>
    <w:rsid w:val="001B52C2"/>
    <w:rsid w:val="001C170D"/>
    <w:rsid w:val="001C36D9"/>
    <w:rsid w:val="001D45E0"/>
    <w:rsid w:val="001D6E80"/>
    <w:rsid w:val="001D75F7"/>
    <w:rsid w:val="001E5C14"/>
    <w:rsid w:val="001F2DE8"/>
    <w:rsid w:val="001F4189"/>
    <w:rsid w:val="0020190D"/>
    <w:rsid w:val="00202AE0"/>
    <w:rsid w:val="00202CF9"/>
    <w:rsid w:val="002073C5"/>
    <w:rsid w:val="002165DE"/>
    <w:rsid w:val="0022147F"/>
    <w:rsid w:val="0022466A"/>
    <w:rsid w:val="002317D0"/>
    <w:rsid w:val="00232DE0"/>
    <w:rsid w:val="00236EF0"/>
    <w:rsid w:val="00243B9A"/>
    <w:rsid w:val="00247B24"/>
    <w:rsid w:val="00251BD1"/>
    <w:rsid w:val="00255CCC"/>
    <w:rsid w:val="00256C64"/>
    <w:rsid w:val="00263B6B"/>
    <w:rsid w:val="00266169"/>
    <w:rsid w:val="00270AF4"/>
    <w:rsid w:val="002738C8"/>
    <w:rsid w:val="00275ECE"/>
    <w:rsid w:val="002A1594"/>
    <w:rsid w:val="002A6F53"/>
    <w:rsid w:val="002A7B53"/>
    <w:rsid w:val="002B45A8"/>
    <w:rsid w:val="002B633E"/>
    <w:rsid w:val="002B7588"/>
    <w:rsid w:val="002C4A67"/>
    <w:rsid w:val="002C7BA6"/>
    <w:rsid w:val="002F7D76"/>
    <w:rsid w:val="00300981"/>
    <w:rsid w:val="003064AD"/>
    <w:rsid w:val="00306F98"/>
    <w:rsid w:val="00312C8D"/>
    <w:rsid w:val="00317878"/>
    <w:rsid w:val="00331E7B"/>
    <w:rsid w:val="003323D0"/>
    <w:rsid w:val="0033527F"/>
    <w:rsid w:val="0034059A"/>
    <w:rsid w:val="00346DA4"/>
    <w:rsid w:val="00351E45"/>
    <w:rsid w:val="00373A5A"/>
    <w:rsid w:val="00375CD2"/>
    <w:rsid w:val="00380F8C"/>
    <w:rsid w:val="003814C5"/>
    <w:rsid w:val="0038372E"/>
    <w:rsid w:val="00385B02"/>
    <w:rsid w:val="00386D04"/>
    <w:rsid w:val="003A284A"/>
    <w:rsid w:val="003A5495"/>
    <w:rsid w:val="003C1A6C"/>
    <w:rsid w:val="003D2C54"/>
    <w:rsid w:val="003D6266"/>
    <w:rsid w:val="003E2E3E"/>
    <w:rsid w:val="003E6432"/>
    <w:rsid w:val="003F085C"/>
    <w:rsid w:val="003F0DE8"/>
    <w:rsid w:val="003F48EC"/>
    <w:rsid w:val="003F4AED"/>
    <w:rsid w:val="003F5DB1"/>
    <w:rsid w:val="004021D4"/>
    <w:rsid w:val="00404DD8"/>
    <w:rsid w:val="00404ECE"/>
    <w:rsid w:val="00410821"/>
    <w:rsid w:val="00416345"/>
    <w:rsid w:val="00424899"/>
    <w:rsid w:val="004252D3"/>
    <w:rsid w:val="00433126"/>
    <w:rsid w:val="004345A5"/>
    <w:rsid w:val="0044311E"/>
    <w:rsid w:val="004459F2"/>
    <w:rsid w:val="00446916"/>
    <w:rsid w:val="00450D4F"/>
    <w:rsid w:val="00456C1F"/>
    <w:rsid w:val="00457AA7"/>
    <w:rsid w:val="00472F0C"/>
    <w:rsid w:val="00481D14"/>
    <w:rsid w:val="0048271A"/>
    <w:rsid w:val="00485BAC"/>
    <w:rsid w:val="0049750C"/>
    <w:rsid w:val="004A57CC"/>
    <w:rsid w:val="004A6D3B"/>
    <w:rsid w:val="004B0DED"/>
    <w:rsid w:val="004B1A33"/>
    <w:rsid w:val="004B23F5"/>
    <w:rsid w:val="004B7C36"/>
    <w:rsid w:val="004C22DF"/>
    <w:rsid w:val="004D7162"/>
    <w:rsid w:val="004F2A1E"/>
    <w:rsid w:val="004F36E2"/>
    <w:rsid w:val="004F5A2A"/>
    <w:rsid w:val="005002C4"/>
    <w:rsid w:val="0051403B"/>
    <w:rsid w:val="0051750F"/>
    <w:rsid w:val="0052248A"/>
    <w:rsid w:val="0052381A"/>
    <w:rsid w:val="00524382"/>
    <w:rsid w:val="00533D4D"/>
    <w:rsid w:val="00536874"/>
    <w:rsid w:val="005462C8"/>
    <w:rsid w:val="0055126F"/>
    <w:rsid w:val="0055147E"/>
    <w:rsid w:val="005516C1"/>
    <w:rsid w:val="00561A59"/>
    <w:rsid w:val="00565057"/>
    <w:rsid w:val="00567413"/>
    <w:rsid w:val="00582541"/>
    <w:rsid w:val="005848D3"/>
    <w:rsid w:val="00585719"/>
    <w:rsid w:val="00585966"/>
    <w:rsid w:val="00590D13"/>
    <w:rsid w:val="005937FC"/>
    <w:rsid w:val="00594370"/>
    <w:rsid w:val="005956A0"/>
    <w:rsid w:val="005A12D9"/>
    <w:rsid w:val="005A16B0"/>
    <w:rsid w:val="005A22E7"/>
    <w:rsid w:val="005A3B77"/>
    <w:rsid w:val="005B4193"/>
    <w:rsid w:val="005B4D2F"/>
    <w:rsid w:val="005C05C7"/>
    <w:rsid w:val="005C1511"/>
    <w:rsid w:val="005E05C5"/>
    <w:rsid w:val="005E1885"/>
    <w:rsid w:val="005E39AF"/>
    <w:rsid w:val="005E575C"/>
    <w:rsid w:val="005F1807"/>
    <w:rsid w:val="005F6D6E"/>
    <w:rsid w:val="00600C72"/>
    <w:rsid w:val="00604CD0"/>
    <w:rsid w:val="00605190"/>
    <w:rsid w:val="0060722E"/>
    <w:rsid w:val="006109F4"/>
    <w:rsid w:val="00620A98"/>
    <w:rsid w:val="006277EE"/>
    <w:rsid w:val="0063434E"/>
    <w:rsid w:val="006353C9"/>
    <w:rsid w:val="006363B9"/>
    <w:rsid w:val="0063786D"/>
    <w:rsid w:val="006449D6"/>
    <w:rsid w:val="00645194"/>
    <w:rsid w:val="00645C4D"/>
    <w:rsid w:val="00646ED1"/>
    <w:rsid w:val="00650EB7"/>
    <w:rsid w:val="0065223C"/>
    <w:rsid w:val="0065312E"/>
    <w:rsid w:val="00653A17"/>
    <w:rsid w:val="006560A6"/>
    <w:rsid w:val="00656DC8"/>
    <w:rsid w:val="00663DB2"/>
    <w:rsid w:val="006664D7"/>
    <w:rsid w:val="00673A25"/>
    <w:rsid w:val="00675458"/>
    <w:rsid w:val="006771FA"/>
    <w:rsid w:val="00681FB3"/>
    <w:rsid w:val="00687D76"/>
    <w:rsid w:val="00692E51"/>
    <w:rsid w:val="006953FA"/>
    <w:rsid w:val="0069690D"/>
    <w:rsid w:val="00696E2F"/>
    <w:rsid w:val="00696F2D"/>
    <w:rsid w:val="006A6B61"/>
    <w:rsid w:val="006B19D0"/>
    <w:rsid w:val="006C2B88"/>
    <w:rsid w:val="006C3C85"/>
    <w:rsid w:val="006C5F99"/>
    <w:rsid w:val="006C78B4"/>
    <w:rsid w:val="006C7F6E"/>
    <w:rsid w:val="006D3237"/>
    <w:rsid w:val="006D7C63"/>
    <w:rsid w:val="006E2574"/>
    <w:rsid w:val="006F0416"/>
    <w:rsid w:val="006F17FA"/>
    <w:rsid w:val="006F19B6"/>
    <w:rsid w:val="006F738E"/>
    <w:rsid w:val="0070240C"/>
    <w:rsid w:val="007037F5"/>
    <w:rsid w:val="00721219"/>
    <w:rsid w:val="00730D98"/>
    <w:rsid w:val="007327C1"/>
    <w:rsid w:val="00740A33"/>
    <w:rsid w:val="007425CE"/>
    <w:rsid w:val="007561E0"/>
    <w:rsid w:val="007570B8"/>
    <w:rsid w:val="00760B33"/>
    <w:rsid w:val="00766DCB"/>
    <w:rsid w:val="007729DE"/>
    <w:rsid w:val="00780487"/>
    <w:rsid w:val="00780E65"/>
    <w:rsid w:val="0078421C"/>
    <w:rsid w:val="00790687"/>
    <w:rsid w:val="00790A9B"/>
    <w:rsid w:val="00792DFF"/>
    <w:rsid w:val="007A2193"/>
    <w:rsid w:val="007A6E58"/>
    <w:rsid w:val="007B28DB"/>
    <w:rsid w:val="007B5223"/>
    <w:rsid w:val="007B6470"/>
    <w:rsid w:val="007C1353"/>
    <w:rsid w:val="007C46DF"/>
    <w:rsid w:val="007C491A"/>
    <w:rsid w:val="007C5299"/>
    <w:rsid w:val="007C549C"/>
    <w:rsid w:val="007D2253"/>
    <w:rsid w:val="007E1E8D"/>
    <w:rsid w:val="007E1F9E"/>
    <w:rsid w:val="007F4E5C"/>
    <w:rsid w:val="008109E8"/>
    <w:rsid w:val="008159A2"/>
    <w:rsid w:val="00820B6A"/>
    <w:rsid w:val="0082106D"/>
    <w:rsid w:val="00834ADA"/>
    <w:rsid w:val="00840FE0"/>
    <w:rsid w:val="008503DC"/>
    <w:rsid w:val="00851372"/>
    <w:rsid w:val="00854293"/>
    <w:rsid w:val="00856B82"/>
    <w:rsid w:val="008653A8"/>
    <w:rsid w:val="008676F8"/>
    <w:rsid w:val="0087297A"/>
    <w:rsid w:val="00874755"/>
    <w:rsid w:val="00881D10"/>
    <w:rsid w:val="00882994"/>
    <w:rsid w:val="00884276"/>
    <w:rsid w:val="00887EEB"/>
    <w:rsid w:val="00890916"/>
    <w:rsid w:val="008A0FC3"/>
    <w:rsid w:val="008A3BB2"/>
    <w:rsid w:val="008A6B33"/>
    <w:rsid w:val="008B6A0B"/>
    <w:rsid w:val="008D19F5"/>
    <w:rsid w:val="008D4DC0"/>
    <w:rsid w:val="008D5022"/>
    <w:rsid w:val="008E45A7"/>
    <w:rsid w:val="008E7F6B"/>
    <w:rsid w:val="008F4B8D"/>
    <w:rsid w:val="008F5436"/>
    <w:rsid w:val="00900FC6"/>
    <w:rsid w:val="00901EB7"/>
    <w:rsid w:val="00902B75"/>
    <w:rsid w:val="00904D02"/>
    <w:rsid w:val="00905E3F"/>
    <w:rsid w:val="009074A6"/>
    <w:rsid w:val="00911FF2"/>
    <w:rsid w:val="00914661"/>
    <w:rsid w:val="00916DE8"/>
    <w:rsid w:val="00933A1E"/>
    <w:rsid w:val="00934C13"/>
    <w:rsid w:val="009376ED"/>
    <w:rsid w:val="009407B7"/>
    <w:rsid w:val="009423B0"/>
    <w:rsid w:val="00951EBC"/>
    <w:rsid w:val="00961F46"/>
    <w:rsid w:val="00962336"/>
    <w:rsid w:val="00993138"/>
    <w:rsid w:val="00995237"/>
    <w:rsid w:val="009954A8"/>
    <w:rsid w:val="009B0333"/>
    <w:rsid w:val="009B1F18"/>
    <w:rsid w:val="009B2AEF"/>
    <w:rsid w:val="009C1BC4"/>
    <w:rsid w:val="009C4244"/>
    <w:rsid w:val="009C70DF"/>
    <w:rsid w:val="009D1F32"/>
    <w:rsid w:val="009D2B3A"/>
    <w:rsid w:val="009D52D5"/>
    <w:rsid w:val="009D6D8B"/>
    <w:rsid w:val="009D7F67"/>
    <w:rsid w:val="009E1B73"/>
    <w:rsid w:val="009E2D4F"/>
    <w:rsid w:val="009F3918"/>
    <w:rsid w:val="00A07E8D"/>
    <w:rsid w:val="00A07ED6"/>
    <w:rsid w:val="00A1241B"/>
    <w:rsid w:val="00A1682F"/>
    <w:rsid w:val="00A23BCE"/>
    <w:rsid w:val="00A40271"/>
    <w:rsid w:val="00A40A21"/>
    <w:rsid w:val="00A43423"/>
    <w:rsid w:val="00A43DC4"/>
    <w:rsid w:val="00A50A8F"/>
    <w:rsid w:val="00A50C82"/>
    <w:rsid w:val="00A52068"/>
    <w:rsid w:val="00A52F53"/>
    <w:rsid w:val="00A531C7"/>
    <w:rsid w:val="00A569EB"/>
    <w:rsid w:val="00A61BED"/>
    <w:rsid w:val="00A6311B"/>
    <w:rsid w:val="00A71278"/>
    <w:rsid w:val="00A72E30"/>
    <w:rsid w:val="00A77E4E"/>
    <w:rsid w:val="00A81E1E"/>
    <w:rsid w:val="00A8319B"/>
    <w:rsid w:val="00AA727C"/>
    <w:rsid w:val="00AB4BC8"/>
    <w:rsid w:val="00AB5983"/>
    <w:rsid w:val="00AB6166"/>
    <w:rsid w:val="00AC21D8"/>
    <w:rsid w:val="00AC6BAC"/>
    <w:rsid w:val="00AD4116"/>
    <w:rsid w:val="00AD550B"/>
    <w:rsid w:val="00AD5CE4"/>
    <w:rsid w:val="00AD6731"/>
    <w:rsid w:val="00AD7FE3"/>
    <w:rsid w:val="00AE1349"/>
    <w:rsid w:val="00AE493E"/>
    <w:rsid w:val="00AF42CA"/>
    <w:rsid w:val="00B02DC2"/>
    <w:rsid w:val="00B03439"/>
    <w:rsid w:val="00B07881"/>
    <w:rsid w:val="00B12327"/>
    <w:rsid w:val="00B127D7"/>
    <w:rsid w:val="00B1303E"/>
    <w:rsid w:val="00B141A5"/>
    <w:rsid w:val="00B22880"/>
    <w:rsid w:val="00B248BE"/>
    <w:rsid w:val="00B304CC"/>
    <w:rsid w:val="00B30EF7"/>
    <w:rsid w:val="00B36E4A"/>
    <w:rsid w:val="00B42E4F"/>
    <w:rsid w:val="00B5566E"/>
    <w:rsid w:val="00B62FB8"/>
    <w:rsid w:val="00B64581"/>
    <w:rsid w:val="00B70443"/>
    <w:rsid w:val="00B740C6"/>
    <w:rsid w:val="00B76927"/>
    <w:rsid w:val="00B76DAE"/>
    <w:rsid w:val="00B77882"/>
    <w:rsid w:val="00B801C8"/>
    <w:rsid w:val="00B80876"/>
    <w:rsid w:val="00B8145A"/>
    <w:rsid w:val="00B8278A"/>
    <w:rsid w:val="00B87D9C"/>
    <w:rsid w:val="00BB364A"/>
    <w:rsid w:val="00BB3C13"/>
    <w:rsid w:val="00BB5737"/>
    <w:rsid w:val="00BB7051"/>
    <w:rsid w:val="00BC14CA"/>
    <w:rsid w:val="00BC169D"/>
    <w:rsid w:val="00BC3B47"/>
    <w:rsid w:val="00BD2577"/>
    <w:rsid w:val="00BE1FD3"/>
    <w:rsid w:val="00BE28AF"/>
    <w:rsid w:val="00C02E18"/>
    <w:rsid w:val="00C1475D"/>
    <w:rsid w:val="00C151AE"/>
    <w:rsid w:val="00C15530"/>
    <w:rsid w:val="00C20577"/>
    <w:rsid w:val="00C24D14"/>
    <w:rsid w:val="00C355A5"/>
    <w:rsid w:val="00C37F2D"/>
    <w:rsid w:val="00C473A9"/>
    <w:rsid w:val="00C5288A"/>
    <w:rsid w:val="00C54D3E"/>
    <w:rsid w:val="00C5719A"/>
    <w:rsid w:val="00C577AE"/>
    <w:rsid w:val="00C76D42"/>
    <w:rsid w:val="00C775F7"/>
    <w:rsid w:val="00C8048B"/>
    <w:rsid w:val="00C833E1"/>
    <w:rsid w:val="00C96877"/>
    <w:rsid w:val="00CA298F"/>
    <w:rsid w:val="00CA497B"/>
    <w:rsid w:val="00CC1ABC"/>
    <w:rsid w:val="00CC5111"/>
    <w:rsid w:val="00CD0148"/>
    <w:rsid w:val="00CD50BC"/>
    <w:rsid w:val="00CD6333"/>
    <w:rsid w:val="00CE2D88"/>
    <w:rsid w:val="00CF15A0"/>
    <w:rsid w:val="00CF2CC9"/>
    <w:rsid w:val="00CF5D77"/>
    <w:rsid w:val="00CF6049"/>
    <w:rsid w:val="00D0331B"/>
    <w:rsid w:val="00D113FF"/>
    <w:rsid w:val="00D14A9D"/>
    <w:rsid w:val="00D21CE2"/>
    <w:rsid w:val="00D30CCA"/>
    <w:rsid w:val="00D32ACD"/>
    <w:rsid w:val="00D33675"/>
    <w:rsid w:val="00D34231"/>
    <w:rsid w:val="00D3509C"/>
    <w:rsid w:val="00D3551F"/>
    <w:rsid w:val="00D42644"/>
    <w:rsid w:val="00D44763"/>
    <w:rsid w:val="00D4554F"/>
    <w:rsid w:val="00D46850"/>
    <w:rsid w:val="00D4710B"/>
    <w:rsid w:val="00D4762F"/>
    <w:rsid w:val="00D5388B"/>
    <w:rsid w:val="00D5782C"/>
    <w:rsid w:val="00D80A76"/>
    <w:rsid w:val="00D81ADB"/>
    <w:rsid w:val="00D851D1"/>
    <w:rsid w:val="00D878E4"/>
    <w:rsid w:val="00D91EE1"/>
    <w:rsid w:val="00D9453F"/>
    <w:rsid w:val="00D959CC"/>
    <w:rsid w:val="00DB2775"/>
    <w:rsid w:val="00DB69AF"/>
    <w:rsid w:val="00DB726F"/>
    <w:rsid w:val="00DB794E"/>
    <w:rsid w:val="00DC076D"/>
    <w:rsid w:val="00DC0EB4"/>
    <w:rsid w:val="00DE3B98"/>
    <w:rsid w:val="00E02BF9"/>
    <w:rsid w:val="00E05E9E"/>
    <w:rsid w:val="00E07479"/>
    <w:rsid w:val="00E07F69"/>
    <w:rsid w:val="00E11B67"/>
    <w:rsid w:val="00E12E10"/>
    <w:rsid w:val="00E1452A"/>
    <w:rsid w:val="00E2200F"/>
    <w:rsid w:val="00E22FD9"/>
    <w:rsid w:val="00E26029"/>
    <w:rsid w:val="00E26FFA"/>
    <w:rsid w:val="00E27EF5"/>
    <w:rsid w:val="00E311A5"/>
    <w:rsid w:val="00E412FF"/>
    <w:rsid w:val="00E41C7A"/>
    <w:rsid w:val="00E43CEA"/>
    <w:rsid w:val="00E43E08"/>
    <w:rsid w:val="00E51F50"/>
    <w:rsid w:val="00E520ED"/>
    <w:rsid w:val="00E53B73"/>
    <w:rsid w:val="00E55982"/>
    <w:rsid w:val="00E6088F"/>
    <w:rsid w:val="00E7288B"/>
    <w:rsid w:val="00E74704"/>
    <w:rsid w:val="00E77F8F"/>
    <w:rsid w:val="00E80AC0"/>
    <w:rsid w:val="00E83175"/>
    <w:rsid w:val="00E84FC7"/>
    <w:rsid w:val="00E90B17"/>
    <w:rsid w:val="00E93782"/>
    <w:rsid w:val="00E95650"/>
    <w:rsid w:val="00E95A7A"/>
    <w:rsid w:val="00E95C85"/>
    <w:rsid w:val="00EA5594"/>
    <w:rsid w:val="00EB018F"/>
    <w:rsid w:val="00EB34E2"/>
    <w:rsid w:val="00EB7EE5"/>
    <w:rsid w:val="00EC27D7"/>
    <w:rsid w:val="00EE036A"/>
    <w:rsid w:val="00EE229B"/>
    <w:rsid w:val="00EF113B"/>
    <w:rsid w:val="00EF51D4"/>
    <w:rsid w:val="00F00554"/>
    <w:rsid w:val="00F032AC"/>
    <w:rsid w:val="00F03918"/>
    <w:rsid w:val="00F05835"/>
    <w:rsid w:val="00F058D6"/>
    <w:rsid w:val="00F05CDD"/>
    <w:rsid w:val="00F21FDB"/>
    <w:rsid w:val="00F25986"/>
    <w:rsid w:val="00F2628B"/>
    <w:rsid w:val="00F27451"/>
    <w:rsid w:val="00F331BE"/>
    <w:rsid w:val="00F339A2"/>
    <w:rsid w:val="00F35E44"/>
    <w:rsid w:val="00F566F7"/>
    <w:rsid w:val="00F60A14"/>
    <w:rsid w:val="00F65D65"/>
    <w:rsid w:val="00F67808"/>
    <w:rsid w:val="00F76165"/>
    <w:rsid w:val="00F83AF4"/>
    <w:rsid w:val="00F84C18"/>
    <w:rsid w:val="00F84E53"/>
    <w:rsid w:val="00F86486"/>
    <w:rsid w:val="00F869C6"/>
    <w:rsid w:val="00F96705"/>
    <w:rsid w:val="00FA5A4F"/>
    <w:rsid w:val="00FA5D0A"/>
    <w:rsid w:val="00FB72E0"/>
    <w:rsid w:val="00FC5079"/>
    <w:rsid w:val="00FC5A32"/>
    <w:rsid w:val="00FC5ACE"/>
    <w:rsid w:val="00FC5E2D"/>
    <w:rsid w:val="00FC62B3"/>
    <w:rsid w:val="00FE083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976"/>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aliases w:val="TableGrid"/>
    <w:basedOn w:val="TableNormal"/>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rFonts w:eastAsia="Times New Roman"/>
      <w:i/>
      <w:color w:val="000000"/>
      <w:lang w:eastAsia="ja-JP"/>
    </w:rPr>
  </w:style>
  <w:style w:type="character" w:styleId="Strong">
    <w:name w:val="Strong"/>
    <w:basedOn w:val="DefaultParagraphFont"/>
    <w:uiPriority w:val="22"/>
    <w:qFormat/>
    <w:rsid w:val="00905E3F"/>
    <w:rPr>
      <w:b/>
      <w:bCs/>
    </w:rPr>
  </w:style>
  <w:style w:type="character" w:customStyle="1" w:styleId="first-token">
    <w:name w:val="first-token"/>
    <w:basedOn w:val="DefaultParagraphFont"/>
    <w:rsid w:val="004252D3"/>
  </w:style>
  <w:style w:type="paragraph" w:customStyle="1" w:styleId="B1">
    <w:name w:val="B1"/>
    <w:basedOn w:val="List"/>
    <w:link w:val="B1Char1"/>
    <w:qFormat/>
    <w:rsid w:val="00D81AD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locked/>
    <w:rsid w:val="00D81ADB"/>
    <w:rPr>
      <w:rFonts w:ascii="Times New Roman" w:eastAsia="Times New Roman" w:hAnsi="Times New Roman" w:cs="Times New Roman"/>
      <w:sz w:val="20"/>
      <w:szCs w:val="20"/>
      <w:lang w:eastAsia="en-GB"/>
    </w:rPr>
  </w:style>
  <w:style w:type="paragraph" w:styleId="List">
    <w:name w:val="List"/>
    <w:basedOn w:val="Normal"/>
    <w:uiPriority w:val="99"/>
    <w:semiHidden/>
    <w:unhideWhenUsed/>
    <w:rsid w:val="00D81ADB"/>
    <w:pPr>
      <w:ind w:left="283" w:hanging="283"/>
      <w:contextualSpacing/>
    </w:pPr>
  </w:style>
  <w:style w:type="paragraph" w:styleId="ListBullet5">
    <w:name w:val="List Bullet 5"/>
    <w:basedOn w:val="Normal"/>
    <w:semiHidden/>
    <w:unhideWhenUsed/>
    <w:rsid w:val="00375CD2"/>
    <w:pPr>
      <w:numPr>
        <w:numId w:val="64"/>
      </w:numPr>
      <w:contextualSpacing/>
    </w:pPr>
    <w:rPr>
      <w:rFonts w:eastAsia="SimSun"/>
    </w:rPr>
  </w:style>
  <w:style w:type="numbering" w:customStyle="1" w:styleId="StyleBulletedSymbolsymbolLeft025Hanging0252">
    <w:name w:val="Style Bulleted Symbol (symbol) Left:  0.25&quot; Hanging:  0.25&quot;2"/>
    <w:basedOn w:val="NoList"/>
    <w:rsid w:val="00202CF9"/>
    <w:pPr>
      <w:numPr>
        <w:numId w:val="73"/>
      </w:numPr>
    </w:pPr>
  </w:style>
  <w:style w:type="character" w:styleId="Emphasis">
    <w:name w:val="Emphasis"/>
    <w:basedOn w:val="DefaultParagraphFont"/>
    <w:uiPriority w:val="20"/>
    <w:qFormat/>
    <w:rsid w:val="00760B33"/>
    <w:rPr>
      <w:i/>
      <w:iCs/>
    </w:rPr>
  </w:style>
  <w:style w:type="character" w:styleId="HTMLCode">
    <w:name w:val="HTML Code"/>
    <w:basedOn w:val="DefaultParagraphFont"/>
    <w:uiPriority w:val="99"/>
    <w:semiHidden/>
    <w:unhideWhenUsed/>
    <w:rsid w:val="00760B3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80141">
      <w:bodyDiv w:val="1"/>
      <w:marLeft w:val="0"/>
      <w:marRight w:val="0"/>
      <w:marTop w:val="0"/>
      <w:marBottom w:val="0"/>
      <w:divBdr>
        <w:top w:val="none" w:sz="0" w:space="0" w:color="auto"/>
        <w:left w:val="none" w:sz="0" w:space="0" w:color="auto"/>
        <w:bottom w:val="none" w:sz="0" w:space="0" w:color="auto"/>
        <w:right w:val="none" w:sz="0" w:space="0" w:color="auto"/>
      </w:divBdr>
    </w:div>
    <w:div w:id="188757320">
      <w:bodyDiv w:val="1"/>
      <w:marLeft w:val="0"/>
      <w:marRight w:val="0"/>
      <w:marTop w:val="0"/>
      <w:marBottom w:val="0"/>
      <w:divBdr>
        <w:top w:val="none" w:sz="0" w:space="0" w:color="auto"/>
        <w:left w:val="none" w:sz="0" w:space="0" w:color="auto"/>
        <w:bottom w:val="none" w:sz="0" w:space="0" w:color="auto"/>
        <w:right w:val="none" w:sz="0" w:space="0" w:color="auto"/>
      </w:divBdr>
      <w:divsChild>
        <w:div w:id="1508131106">
          <w:marLeft w:val="0"/>
          <w:marRight w:val="0"/>
          <w:marTop w:val="0"/>
          <w:marBottom w:val="0"/>
          <w:divBdr>
            <w:top w:val="none" w:sz="0" w:space="0" w:color="auto"/>
            <w:left w:val="none" w:sz="0" w:space="0" w:color="auto"/>
            <w:bottom w:val="none" w:sz="0" w:space="0" w:color="auto"/>
            <w:right w:val="none" w:sz="0" w:space="0" w:color="auto"/>
          </w:divBdr>
        </w:div>
        <w:div w:id="1471560191">
          <w:marLeft w:val="0"/>
          <w:marRight w:val="0"/>
          <w:marTop w:val="0"/>
          <w:marBottom w:val="0"/>
          <w:divBdr>
            <w:top w:val="none" w:sz="0" w:space="0" w:color="auto"/>
            <w:left w:val="none" w:sz="0" w:space="0" w:color="auto"/>
            <w:bottom w:val="none" w:sz="0" w:space="0" w:color="auto"/>
            <w:right w:val="none" w:sz="0" w:space="0" w:color="auto"/>
          </w:divBdr>
        </w:div>
      </w:divsChild>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63554159">
      <w:bodyDiv w:val="1"/>
      <w:marLeft w:val="0"/>
      <w:marRight w:val="0"/>
      <w:marTop w:val="0"/>
      <w:marBottom w:val="0"/>
      <w:divBdr>
        <w:top w:val="none" w:sz="0" w:space="0" w:color="auto"/>
        <w:left w:val="none" w:sz="0" w:space="0" w:color="auto"/>
        <w:bottom w:val="none" w:sz="0" w:space="0" w:color="auto"/>
        <w:right w:val="none" w:sz="0" w:space="0" w:color="auto"/>
      </w:divBdr>
    </w:div>
    <w:div w:id="390662829">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26473890">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98021312">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47293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1133</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4</cp:revision>
  <dcterms:created xsi:type="dcterms:W3CDTF">2025-05-09T11:18:00Z</dcterms:created>
  <dcterms:modified xsi:type="dcterms:W3CDTF">2025-05-09T15:00:00Z</dcterms:modified>
</cp:coreProperties>
</file>